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2D0269" w14:textId="77777777" w:rsidR="00FD0189" w:rsidRDefault="00000000">
      <w:pPr>
        <w:pStyle w:val="Title"/>
      </w:pPr>
      <w:r>
        <w:t>Through the Looking Glass: I. Why Cross-Fertilize?</w:t>
      </w:r>
    </w:p>
    <w:p w14:paraId="4CC23635" w14:textId="77777777" w:rsidR="00FD0189" w:rsidRDefault="00000000">
      <w:pPr>
        <w:pStyle w:val="Author"/>
      </w:pPr>
      <w:r>
        <w:t>Curtis M. Lively</w:t>
      </w:r>
    </w:p>
    <w:p w14:paraId="51A674B5" w14:textId="77777777" w:rsidR="00FD0189" w:rsidRDefault="00000000">
      <w:pPr>
        <w:pStyle w:val="Date"/>
      </w:pPr>
      <w:r>
        <w:t>2024</w:t>
      </w:r>
    </w:p>
    <w:p w14:paraId="79D81B58" w14:textId="77777777" w:rsidR="00FD0189" w:rsidRDefault="00000000">
      <w:r>
        <w:t>Abstract</w:t>
      </w:r>
    </w:p>
    <w:p w14:paraId="729DE5C5" w14:textId="77777777" w:rsidR="00FD0189" w:rsidRDefault="00000000">
      <w:pPr>
        <w:pStyle w:val="Abstract"/>
      </w:pPr>
      <w:r>
        <w:t>The following pages represent the first volume of a book. The main goal is to introduce the evolutionary problem of sexual reproduction with a focus on competition between sexual and asexual females. But I also incorporate some ideas on genetic polymorphism and phenotypic plasticity with the goal of exploring “variation strategies” more generally. Finally, I try to weave in some history of the field along with some philosophy of science.</w:t>
      </w:r>
    </w:p>
    <w:sdt>
      <w:sdtPr>
        <w:rPr>
          <w:rFonts w:asciiTheme="minorHAnsi" w:eastAsiaTheme="minorHAnsi" w:hAnsiTheme="minorHAnsi" w:cstheme="minorBidi"/>
          <w:b w:val="0"/>
          <w:i w:val="0"/>
          <w:color w:val="auto"/>
          <w:sz w:val="24"/>
          <w:szCs w:val="24"/>
        </w:rPr>
        <w:id w:val="1650789881"/>
        <w:docPartObj>
          <w:docPartGallery w:val="Table of Contents"/>
          <w:docPartUnique/>
        </w:docPartObj>
      </w:sdtPr>
      <w:sdtContent>
        <w:p w14:paraId="2E849880" w14:textId="77777777" w:rsidR="00FD0189" w:rsidRDefault="00000000">
          <w:pPr>
            <w:pStyle w:val="TOCHeading"/>
          </w:pPr>
          <w:r>
            <w:t>Contents</w:t>
          </w:r>
        </w:p>
        <w:p w14:paraId="2FDB2990" w14:textId="77777777" w:rsidR="007D0981" w:rsidRDefault="00000000">
          <w:pPr>
            <w:pStyle w:val="TOC1"/>
            <w:tabs>
              <w:tab w:val="right" w:leader="dot" w:pos="9350"/>
            </w:tabs>
            <w:rPr>
              <w:noProof/>
            </w:rPr>
          </w:pPr>
          <w:r>
            <w:fldChar w:fldCharType="begin"/>
          </w:r>
          <w:r>
            <w:instrText>TOC \o "1-3" \h \z \u</w:instrText>
          </w:r>
          <w:r>
            <w:fldChar w:fldCharType="separate"/>
          </w:r>
          <w:hyperlink w:anchor="_Toc159248475" w:history="1">
            <w:r w:rsidR="007D0981" w:rsidRPr="00707676">
              <w:rPr>
                <w:rStyle w:val="Hyperlink"/>
                <w:noProof/>
              </w:rPr>
              <w:t>Front Matter</w:t>
            </w:r>
            <w:r w:rsidR="007D0981">
              <w:rPr>
                <w:noProof/>
                <w:webHidden/>
              </w:rPr>
              <w:tab/>
            </w:r>
            <w:r w:rsidR="007D0981">
              <w:rPr>
                <w:noProof/>
                <w:webHidden/>
              </w:rPr>
              <w:fldChar w:fldCharType="begin"/>
            </w:r>
            <w:r w:rsidR="007D0981">
              <w:rPr>
                <w:noProof/>
                <w:webHidden/>
              </w:rPr>
              <w:instrText xml:space="preserve"> PAGEREF _Toc159248475 \h </w:instrText>
            </w:r>
            <w:r w:rsidR="007D0981">
              <w:rPr>
                <w:noProof/>
                <w:webHidden/>
              </w:rPr>
            </w:r>
            <w:r w:rsidR="007D0981">
              <w:rPr>
                <w:noProof/>
                <w:webHidden/>
              </w:rPr>
              <w:fldChar w:fldCharType="separate"/>
            </w:r>
            <w:r w:rsidR="007D0981">
              <w:rPr>
                <w:noProof/>
                <w:webHidden/>
              </w:rPr>
              <w:t>4</w:t>
            </w:r>
            <w:r w:rsidR="007D0981">
              <w:rPr>
                <w:noProof/>
                <w:webHidden/>
              </w:rPr>
              <w:fldChar w:fldCharType="end"/>
            </w:r>
          </w:hyperlink>
        </w:p>
        <w:p w14:paraId="05D64299" w14:textId="77777777" w:rsidR="007D0981" w:rsidRDefault="007D0981">
          <w:pPr>
            <w:pStyle w:val="TOC2"/>
            <w:tabs>
              <w:tab w:val="right" w:leader="dot" w:pos="9350"/>
            </w:tabs>
            <w:rPr>
              <w:noProof/>
            </w:rPr>
          </w:pPr>
          <w:hyperlink w:anchor="_Toc159248476" w:history="1">
            <w:r w:rsidRPr="00707676">
              <w:rPr>
                <w:rStyle w:val="Hyperlink"/>
                <w:noProof/>
              </w:rPr>
              <w:t>Acknowledgements</w:t>
            </w:r>
            <w:r>
              <w:rPr>
                <w:noProof/>
                <w:webHidden/>
              </w:rPr>
              <w:tab/>
            </w:r>
            <w:r>
              <w:rPr>
                <w:noProof/>
                <w:webHidden/>
              </w:rPr>
              <w:fldChar w:fldCharType="begin"/>
            </w:r>
            <w:r>
              <w:rPr>
                <w:noProof/>
                <w:webHidden/>
              </w:rPr>
              <w:instrText xml:space="preserve"> PAGEREF _Toc159248476 \h </w:instrText>
            </w:r>
            <w:r>
              <w:rPr>
                <w:noProof/>
                <w:webHidden/>
              </w:rPr>
            </w:r>
            <w:r>
              <w:rPr>
                <w:noProof/>
                <w:webHidden/>
              </w:rPr>
              <w:fldChar w:fldCharType="separate"/>
            </w:r>
            <w:r>
              <w:rPr>
                <w:noProof/>
                <w:webHidden/>
              </w:rPr>
              <w:t>4</w:t>
            </w:r>
            <w:r>
              <w:rPr>
                <w:noProof/>
                <w:webHidden/>
              </w:rPr>
              <w:fldChar w:fldCharType="end"/>
            </w:r>
          </w:hyperlink>
        </w:p>
        <w:p w14:paraId="07C58D6D" w14:textId="77777777" w:rsidR="007D0981" w:rsidRDefault="007D0981">
          <w:pPr>
            <w:pStyle w:val="TOC2"/>
            <w:tabs>
              <w:tab w:val="right" w:leader="dot" w:pos="9350"/>
            </w:tabs>
            <w:rPr>
              <w:noProof/>
            </w:rPr>
          </w:pPr>
          <w:hyperlink w:anchor="_Toc159248477" w:history="1">
            <w:r w:rsidRPr="00707676">
              <w:rPr>
                <w:rStyle w:val="Hyperlink"/>
                <w:noProof/>
              </w:rPr>
              <w:t>How to Use</w:t>
            </w:r>
            <w:r>
              <w:rPr>
                <w:noProof/>
                <w:webHidden/>
              </w:rPr>
              <w:tab/>
            </w:r>
            <w:r>
              <w:rPr>
                <w:noProof/>
                <w:webHidden/>
              </w:rPr>
              <w:fldChar w:fldCharType="begin"/>
            </w:r>
            <w:r>
              <w:rPr>
                <w:noProof/>
                <w:webHidden/>
              </w:rPr>
              <w:instrText xml:space="preserve"> PAGEREF _Toc159248477 \h </w:instrText>
            </w:r>
            <w:r>
              <w:rPr>
                <w:noProof/>
                <w:webHidden/>
              </w:rPr>
            </w:r>
            <w:r>
              <w:rPr>
                <w:noProof/>
                <w:webHidden/>
              </w:rPr>
              <w:fldChar w:fldCharType="separate"/>
            </w:r>
            <w:r>
              <w:rPr>
                <w:noProof/>
                <w:webHidden/>
              </w:rPr>
              <w:t>4</w:t>
            </w:r>
            <w:r>
              <w:rPr>
                <w:noProof/>
                <w:webHidden/>
              </w:rPr>
              <w:fldChar w:fldCharType="end"/>
            </w:r>
          </w:hyperlink>
        </w:p>
        <w:p w14:paraId="40CF37A9" w14:textId="77777777" w:rsidR="007D0981" w:rsidRDefault="007D0981">
          <w:pPr>
            <w:pStyle w:val="TOC2"/>
            <w:tabs>
              <w:tab w:val="right" w:leader="dot" w:pos="9350"/>
            </w:tabs>
            <w:rPr>
              <w:noProof/>
            </w:rPr>
          </w:pPr>
          <w:hyperlink w:anchor="_Toc159248478" w:history="1">
            <w:r w:rsidRPr="00707676">
              <w:rPr>
                <w:rStyle w:val="Hyperlink"/>
                <w:noProof/>
              </w:rPr>
              <w:t>Copyright and License</w:t>
            </w:r>
            <w:r>
              <w:rPr>
                <w:noProof/>
                <w:webHidden/>
              </w:rPr>
              <w:tab/>
            </w:r>
            <w:r>
              <w:rPr>
                <w:noProof/>
                <w:webHidden/>
              </w:rPr>
              <w:fldChar w:fldCharType="begin"/>
            </w:r>
            <w:r>
              <w:rPr>
                <w:noProof/>
                <w:webHidden/>
              </w:rPr>
              <w:instrText xml:space="preserve"> PAGEREF _Toc159248478 \h </w:instrText>
            </w:r>
            <w:r>
              <w:rPr>
                <w:noProof/>
                <w:webHidden/>
              </w:rPr>
            </w:r>
            <w:r>
              <w:rPr>
                <w:noProof/>
                <w:webHidden/>
              </w:rPr>
              <w:fldChar w:fldCharType="separate"/>
            </w:r>
            <w:r>
              <w:rPr>
                <w:noProof/>
                <w:webHidden/>
              </w:rPr>
              <w:t>5</w:t>
            </w:r>
            <w:r>
              <w:rPr>
                <w:noProof/>
                <w:webHidden/>
              </w:rPr>
              <w:fldChar w:fldCharType="end"/>
            </w:r>
          </w:hyperlink>
        </w:p>
        <w:p w14:paraId="6897168C" w14:textId="77777777" w:rsidR="007D0981" w:rsidRDefault="007D0981">
          <w:pPr>
            <w:pStyle w:val="TOC2"/>
            <w:tabs>
              <w:tab w:val="right" w:leader="dot" w:pos="9350"/>
            </w:tabs>
            <w:rPr>
              <w:noProof/>
            </w:rPr>
          </w:pPr>
          <w:hyperlink w:anchor="_Toc159248479" w:history="1">
            <w:r w:rsidRPr="00707676">
              <w:rPr>
                <w:rStyle w:val="Hyperlink"/>
                <w:noProof/>
              </w:rPr>
              <w:t>Publisher</w:t>
            </w:r>
            <w:r>
              <w:rPr>
                <w:noProof/>
                <w:webHidden/>
              </w:rPr>
              <w:tab/>
            </w:r>
            <w:r>
              <w:rPr>
                <w:noProof/>
                <w:webHidden/>
              </w:rPr>
              <w:fldChar w:fldCharType="begin"/>
            </w:r>
            <w:r>
              <w:rPr>
                <w:noProof/>
                <w:webHidden/>
              </w:rPr>
              <w:instrText xml:space="preserve"> PAGEREF _Toc159248479 \h </w:instrText>
            </w:r>
            <w:r>
              <w:rPr>
                <w:noProof/>
                <w:webHidden/>
              </w:rPr>
            </w:r>
            <w:r>
              <w:rPr>
                <w:noProof/>
                <w:webHidden/>
              </w:rPr>
              <w:fldChar w:fldCharType="separate"/>
            </w:r>
            <w:r>
              <w:rPr>
                <w:noProof/>
                <w:webHidden/>
              </w:rPr>
              <w:t>5</w:t>
            </w:r>
            <w:r>
              <w:rPr>
                <w:noProof/>
                <w:webHidden/>
              </w:rPr>
              <w:fldChar w:fldCharType="end"/>
            </w:r>
          </w:hyperlink>
        </w:p>
        <w:p w14:paraId="0748F5FE" w14:textId="77777777" w:rsidR="007D0981" w:rsidRDefault="007D0981">
          <w:pPr>
            <w:pStyle w:val="TOC2"/>
            <w:tabs>
              <w:tab w:val="right" w:leader="dot" w:pos="9350"/>
            </w:tabs>
            <w:rPr>
              <w:noProof/>
            </w:rPr>
          </w:pPr>
          <w:hyperlink w:anchor="_Toc159248480" w:history="1">
            <w:r w:rsidRPr="00707676">
              <w:rPr>
                <w:rStyle w:val="Hyperlink"/>
                <w:noProof/>
              </w:rPr>
              <w:t>How to Cite</w:t>
            </w:r>
            <w:r>
              <w:rPr>
                <w:noProof/>
                <w:webHidden/>
              </w:rPr>
              <w:tab/>
            </w:r>
            <w:r>
              <w:rPr>
                <w:noProof/>
                <w:webHidden/>
              </w:rPr>
              <w:fldChar w:fldCharType="begin"/>
            </w:r>
            <w:r>
              <w:rPr>
                <w:noProof/>
                <w:webHidden/>
              </w:rPr>
              <w:instrText xml:space="preserve"> PAGEREF _Toc159248480 \h </w:instrText>
            </w:r>
            <w:r>
              <w:rPr>
                <w:noProof/>
                <w:webHidden/>
              </w:rPr>
            </w:r>
            <w:r>
              <w:rPr>
                <w:noProof/>
                <w:webHidden/>
              </w:rPr>
              <w:fldChar w:fldCharType="separate"/>
            </w:r>
            <w:r>
              <w:rPr>
                <w:noProof/>
                <w:webHidden/>
              </w:rPr>
              <w:t>6</w:t>
            </w:r>
            <w:r>
              <w:rPr>
                <w:noProof/>
                <w:webHidden/>
              </w:rPr>
              <w:fldChar w:fldCharType="end"/>
            </w:r>
          </w:hyperlink>
        </w:p>
        <w:p w14:paraId="1511D1CA" w14:textId="77777777" w:rsidR="007D0981" w:rsidRDefault="007D0981">
          <w:pPr>
            <w:pStyle w:val="TOC1"/>
            <w:tabs>
              <w:tab w:val="right" w:leader="dot" w:pos="9350"/>
            </w:tabs>
            <w:rPr>
              <w:noProof/>
            </w:rPr>
          </w:pPr>
          <w:hyperlink w:anchor="_Toc159248481" w:history="1">
            <w:r w:rsidRPr="00707676">
              <w:rPr>
                <w:rStyle w:val="Hyperlink"/>
                <w:noProof/>
              </w:rPr>
              <w:t>1. Why Sex?</w:t>
            </w:r>
            <w:r>
              <w:rPr>
                <w:noProof/>
                <w:webHidden/>
              </w:rPr>
              <w:tab/>
            </w:r>
            <w:r>
              <w:rPr>
                <w:noProof/>
                <w:webHidden/>
              </w:rPr>
              <w:fldChar w:fldCharType="begin"/>
            </w:r>
            <w:r>
              <w:rPr>
                <w:noProof/>
                <w:webHidden/>
              </w:rPr>
              <w:instrText xml:space="preserve"> PAGEREF _Toc159248481 \h </w:instrText>
            </w:r>
            <w:r>
              <w:rPr>
                <w:noProof/>
                <w:webHidden/>
              </w:rPr>
            </w:r>
            <w:r>
              <w:rPr>
                <w:noProof/>
                <w:webHidden/>
              </w:rPr>
              <w:fldChar w:fldCharType="separate"/>
            </w:r>
            <w:r>
              <w:rPr>
                <w:noProof/>
                <w:webHidden/>
              </w:rPr>
              <w:t>7</w:t>
            </w:r>
            <w:r>
              <w:rPr>
                <w:noProof/>
                <w:webHidden/>
              </w:rPr>
              <w:fldChar w:fldCharType="end"/>
            </w:r>
          </w:hyperlink>
        </w:p>
        <w:p w14:paraId="67A9F4EB" w14:textId="77777777" w:rsidR="007D0981" w:rsidRDefault="007D0981">
          <w:pPr>
            <w:pStyle w:val="TOC2"/>
            <w:tabs>
              <w:tab w:val="right" w:leader="dot" w:pos="9350"/>
            </w:tabs>
            <w:rPr>
              <w:noProof/>
            </w:rPr>
          </w:pPr>
          <w:hyperlink w:anchor="_Toc159248482" w:history="1">
            <w:r w:rsidRPr="00707676">
              <w:rPr>
                <w:rStyle w:val="Hyperlink"/>
                <w:noProof/>
              </w:rPr>
              <w:t>1.1 The Question</w:t>
            </w:r>
            <w:r>
              <w:rPr>
                <w:noProof/>
                <w:webHidden/>
              </w:rPr>
              <w:tab/>
            </w:r>
            <w:r>
              <w:rPr>
                <w:noProof/>
                <w:webHidden/>
              </w:rPr>
              <w:fldChar w:fldCharType="begin"/>
            </w:r>
            <w:r>
              <w:rPr>
                <w:noProof/>
                <w:webHidden/>
              </w:rPr>
              <w:instrText xml:space="preserve"> PAGEREF _Toc159248482 \h </w:instrText>
            </w:r>
            <w:r>
              <w:rPr>
                <w:noProof/>
                <w:webHidden/>
              </w:rPr>
            </w:r>
            <w:r>
              <w:rPr>
                <w:noProof/>
                <w:webHidden/>
              </w:rPr>
              <w:fldChar w:fldCharType="separate"/>
            </w:r>
            <w:r>
              <w:rPr>
                <w:noProof/>
                <w:webHidden/>
              </w:rPr>
              <w:t>7</w:t>
            </w:r>
            <w:r>
              <w:rPr>
                <w:noProof/>
                <w:webHidden/>
              </w:rPr>
              <w:fldChar w:fldCharType="end"/>
            </w:r>
          </w:hyperlink>
        </w:p>
        <w:p w14:paraId="7E25C099" w14:textId="77777777" w:rsidR="007D0981" w:rsidRDefault="007D0981">
          <w:pPr>
            <w:pStyle w:val="TOC2"/>
            <w:tabs>
              <w:tab w:val="right" w:leader="dot" w:pos="9350"/>
            </w:tabs>
            <w:rPr>
              <w:noProof/>
            </w:rPr>
          </w:pPr>
          <w:hyperlink w:anchor="_Toc159248483" w:history="1">
            <w:r w:rsidRPr="00707676">
              <w:rPr>
                <w:rStyle w:val="Hyperlink"/>
                <w:noProof/>
              </w:rPr>
              <w:t>1.2 The Problem</w:t>
            </w:r>
            <w:r>
              <w:rPr>
                <w:noProof/>
                <w:webHidden/>
              </w:rPr>
              <w:tab/>
            </w:r>
            <w:r>
              <w:rPr>
                <w:noProof/>
                <w:webHidden/>
              </w:rPr>
              <w:fldChar w:fldCharType="begin"/>
            </w:r>
            <w:r>
              <w:rPr>
                <w:noProof/>
                <w:webHidden/>
              </w:rPr>
              <w:instrText xml:space="preserve"> PAGEREF _Toc159248483 \h </w:instrText>
            </w:r>
            <w:r>
              <w:rPr>
                <w:noProof/>
                <w:webHidden/>
              </w:rPr>
            </w:r>
            <w:r>
              <w:rPr>
                <w:noProof/>
                <w:webHidden/>
              </w:rPr>
              <w:fldChar w:fldCharType="separate"/>
            </w:r>
            <w:r>
              <w:rPr>
                <w:noProof/>
                <w:webHidden/>
              </w:rPr>
              <w:t>8</w:t>
            </w:r>
            <w:r>
              <w:rPr>
                <w:noProof/>
                <w:webHidden/>
              </w:rPr>
              <w:fldChar w:fldCharType="end"/>
            </w:r>
          </w:hyperlink>
        </w:p>
        <w:p w14:paraId="095A96A3" w14:textId="77777777" w:rsidR="007D0981" w:rsidRDefault="007D0981">
          <w:pPr>
            <w:pStyle w:val="TOC3"/>
            <w:tabs>
              <w:tab w:val="right" w:leader="dot" w:pos="9350"/>
            </w:tabs>
            <w:rPr>
              <w:noProof/>
            </w:rPr>
          </w:pPr>
          <w:hyperlink w:anchor="_Toc159248484" w:history="1">
            <w:r w:rsidRPr="00707676">
              <w:rPr>
                <w:rStyle w:val="Hyperlink"/>
                <w:noProof/>
              </w:rPr>
              <w:t>1.2.1 The cost of meiosis: reduced relatedness</w:t>
            </w:r>
            <w:r>
              <w:rPr>
                <w:noProof/>
                <w:webHidden/>
              </w:rPr>
              <w:tab/>
            </w:r>
            <w:r>
              <w:rPr>
                <w:noProof/>
                <w:webHidden/>
              </w:rPr>
              <w:fldChar w:fldCharType="begin"/>
            </w:r>
            <w:r>
              <w:rPr>
                <w:noProof/>
                <w:webHidden/>
              </w:rPr>
              <w:instrText xml:space="preserve"> PAGEREF _Toc159248484 \h </w:instrText>
            </w:r>
            <w:r>
              <w:rPr>
                <w:noProof/>
                <w:webHidden/>
              </w:rPr>
            </w:r>
            <w:r>
              <w:rPr>
                <w:noProof/>
                <w:webHidden/>
              </w:rPr>
              <w:fldChar w:fldCharType="separate"/>
            </w:r>
            <w:r>
              <w:rPr>
                <w:noProof/>
                <w:webHidden/>
              </w:rPr>
              <w:t>8</w:t>
            </w:r>
            <w:r>
              <w:rPr>
                <w:noProof/>
                <w:webHidden/>
              </w:rPr>
              <w:fldChar w:fldCharType="end"/>
            </w:r>
          </w:hyperlink>
        </w:p>
        <w:p w14:paraId="735191CD" w14:textId="77777777" w:rsidR="007D0981" w:rsidRDefault="007D0981">
          <w:pPr>
            <w:pStyle w:val="TOC3"/>
            <w:tabs>
              <w:tab w:val="right" w:leader="dot" w:pos="9350"/>
            </w:tabs>
            <w:rPr>
              <w:noProof/>
            </w:rPr>
          </w:pPr>
          <w:hyperlink w:anchor="_Toc159248485" w:history="1">
            <w:r w:rsidRPr="00707676">
              <w:rPr>
                <w:rStyle w:val="Hyperlink"/>
                <w:noProof/>
              </w:rPr>
              <w:t>1.2.2 The cost of males</w:t>
            </w:r>
            <w:r>
              <w:rPr>
                <w:noProof/>
                <w:webHidden/>
              </w:rPr>
              <w:tab/>
            </w:r>
            <w:r>
              <w:rPr>
                <w:noProof/>
                <w:webHidden/>
              </w:rPr>
              <w:fldChar w:fldCharType="begin"/>
            </w:r>
            <w:r>
              <w:rPr>
                <w:noProof/>
                <w:webHidden/>
              </w:rPr>
              <w:instrText xml:space="preserve"> PAGEREF _Toc159248485 \h </w:instrText>
            </w:r>
            <w:r>
              <w:rPr>
                <w:noProof/>
                <w:webHidden/>
              </w:rPr>
            </w:r>
            <w:r>
              <w:rPr>
                <w:noProof/>
                <w:webHidden/>
              </w:rPr>
              <w:fldChar w:fldCharType="separate"/>
            </w:r>
            <w:r>
              <w:rPr>
                <w:noProof/>
                <w:webHidden/>
              </w:rPr>
              <w:t>8</w:t>
            </w:r>
            <w:r>
              <w:rPr>
                <w:noProof/>
                <w:webHidden/>
              </w:rPr>
              <w:fldChar w:fldCharType="end"/>
            </w:r>
          </w:hyperlink>
        </w:p>
        <w:p w14:paraId="1B535438" w14:textId="77777777" w:rsidR="007D0981" w:rsidRDefault="007D0981">
          <w:pPr>
            <w:pStyle w:val="TOC3"/>
            <w:tabs>
              <w:tab w:val="right" w:leader="dot" w:pos="9350"/>
            </w:tabs>
            <w:rPr>
              <w:noProof/>
            </w:rPr>
          </w:pPr>
          <w:hyperlink w:anchor="_Toc159248486" w:history="1">
            <w:r w:rsidRPr="00707676">
              <w:rPr>
                <w:rStyle w:val="Hyperlink"/>
                <w:noProof/>
              </w:rPr>
              <w:t>1.2.3 Contrasting the costs</w:t>
            </w:r>
            <w:r>
              <w:rPr>
                <w:noProof/>
                <w:webHidden/>
              </w:rPr>
              <w:tab/>
            </w:r>
            <w:r>
              <w:rPr>
                <w:noProof/>
                <w:webHidden/>
              </w:rPr>
              <w:fldChar w:fldCharType="begin"/>
            </w:r>
            <w:r>
              <w:rPr>
                <w:noProof/>
                <w:webHidden/>
              </w:rPr>
              <w:instrText xml:space="preserve"> PAGEREF _Toc159248486 \h </w:instrText>
            </w:r>
            <w:r>
              <w:rPr>
                <w:noProof/>
                <w:webHidden/>
              </w:rPr>
            </w:r>
            <w:r>
              <w:rPr>
                <w:noProof/>
                <w:webHidden/>
              </w:rPr>
              <w:fldChar w:fldCharType="separate"/>
            </w:r>
            <w:r>
              <w:rPr>
                <w:noProof/>
                <w:webHidden/>
              </w:rPr>
              <w:t>9</w:t>
            </w:r>
            <w:r>
              <w:rPr>
                <w:noProof/>
                <w:webHidden/>
              </w:rPr>
              <w:fldChar w:fldCharType="end"/>
            </w:r>
          </w:hyperlink>
        </w:p>
        <w:p w14:paraId="66D2ADCD" w14:textId="77777777" w:rsidR="007D0981" w:rsidRDefault="007D0981">
          <w:pPr>
            <w:pStyle w:val="TOC3"/>
            <w:tabs>
              <w:tab w:val="right" w:leader="dot" w:pos="9350"/>
            </w:tabs>
            <w:rPr>
              <w:noProof/>
            </w:rPr>
          </w:pPr>
          <w:hyperlink w:anchor="_Toc159248487" w:history="1">
            <w:r w:rsidRPr="00707676">
              <w:rPr>
                <w:rStyle w:val="Hyperlink"/>
                <w:noProof/>
              </w:rPr>
              <w:t>1.2.4 The cost of recombination</w:t>
            </w:r>
            <w:r>
              <w:rPr>
                <w:noProof/>
                <w:webHidden/>
              </w:rPr>
              <w:tab/>
            </w:r>
            <w:r>
              <w:rPr>
                <w:noProof/>
                <w:webHidden/>
              </w:rPr>
              <w:fldChar w:fldCharType="begin"/>
            </w:r>
            <w:r>
              <w:rPr>
                <w:noProof/>
                <w:webHidden/>
              </w:rPr>
              <w:instrText xml:space="preserve"> PAGEREF _Toc159248487 \h </w:instrText>
            </w:r>
            <w:r>
              <w:rPr>
                <w:noProof/>
                <w:webHidden/>
              </w:rPr>
            </w:r>
            <w:r>
              <w:rPr>
                <w:noProof/>
                <w:webHidden/>
              </w:rPr>
              <w:fldChar w:fldCharType="separate"/>
            </w:r>
            <w:r>
              <w:rPr>
                <w:noProof/>
                <w:webHidden/>
              </w:rPr>
              <w:t>11</w:t>
            </w:r>
            <w:r>
              <w:rPr>
                <w:noProof/>
                <w:webHidden/>
              </w:rPr>
              <w:fldChar w:fldCharType="end"/>
            </w:r>
          </w:hyperlink>
        </w:p>
        <w:p w14:paraId="3B6279EC" w14:textId="77777777" w:rsidR="007D0981" w:rsidRDefault="007D0981">
          <w:pPr>
            <w:pStyle w:val="TOC3"/>
            <w:tabs>
              <w:tab w:val="right" w:leader="dot" w:pos="9350"/>
            </w:tabs>
            <w:rPr>
              <w:noProof/>
            </w:rPr>
          </w:pPr>
          <w:hyperlink w:anchor="_Toc159248488" w:history="1">
            <w:r w:rsidRPr="00707676">
              <w:rPr>
                <w:rStyle w:val="Hyperlink"/>
                <w:noProof/>
              </w:rPr>
              <w:t>1.2.5 Darwin’s view</w:t>
            </w:r>
            <w:r>
              <w:rPr>
                <w:noProof/>
                <w:webHidden/>
              </w:rPr>
              <w:tab/>
            </w:r>
            <w:r>
              <w:rPr>
                <w:noProof/>
                <w:webHidden/>
              </w:rPr>
              <w:fldChar w:fldCharType="begin"/>
            </w:r>
            <w:r>
              <w:rPr>
                <w:noProof/>
                <w:webHidden/>
              </w:rPr>
              <w:instrText xml:space="preserve"> PAGEREF _Toc159248488 \h </w:instrText>
            </w:r>
            <w:r>
              <w:rPr>
                <w:noProof/>
                <w:webHidden/>
              </w:rPr>
            </w:r>
            <w:r>
              <w:rPr>
                <w:noProof/>
                <w:webHidden/>
              </w:rPr>
              <w:fldChar w:fldCharType="separate"/>
            </w:r>
            <w:r>
              <w:rPr>
                <w:noProof/>
                <w:webHidden/>
              </w:rPr>
              <w:t>11</w:t>
            </w:r>
            <w:r>
              <w:rPr>
                <w:noProof/>
                <w:webHidden/>
              </w:rPr>
              <w:fldChar w:fldCharType="end"/>
            </w:r>
          </w:hyperlink>
        </w:p>
        <w:p w14:paraId="4BEC3484" w14:textId="77777777" w:rsidR="007D0981" w:rsidRDefault="007D0981">
          <w:pPr>
            <w:pStyle w:val="TOC2"/>
            <w:tabs>
              <w:tab w:val="right" w:leader="dot" w:pos="9350"/>
            </w:tabs>
            <w:rPr>
              <w:noProof/>
            </w:rPr>
          </w:pPr>
          <w:hyperlink w:anchor="_Toc159248489" w:history="1">
            <w:r w:rsidRPr="00707676">
              <w:rPr>
                <w:rStyle w:val="Hyperlink"/>
                <w:noProof/>
              </w:rPr>
              <w:t>1.3 Summary</w:t>
            </w:r>
            <w:r>
              <w:rPr>
                <w:noProof/>
                <w:webHidden/>
              </w:rPr>
              <w:tab/>
            </w:r>
            <w:r>
              <w:rPr>
                <w:noProof/>
                <w:webHidden/>
              </w:rPr>
              <w:fldChar w:fldCharType="begin"/>
            </w:r>
            <w:r>
              <w:rPr>
                <w:noProof/>
                <w:webHidden/>
              </w:rPr>
              <w:instrText xml:space="preserve"> PAGEREF _Toc159248489 \h </w:instrText>
            </w:r>
            <w:r>
              <w:rPr>
                <w:noProof/>
                <w:webHidden/>
              </w:rPr>
            </w:r>
            <w:r>
              <w:rPr>
                <w:noProof/>
                <w:webHidden/>
              </w:rPr>
              <w:fldChar w:fldCharType="separate"/>
            </w:r>
            <w:r>
              <w:rPr>
                <w:noProof/>
                <w:webHidden/>
              </w:rPr>
              <w:t>14</w:t>
            </w:r>
            <w:r>
              <w:rPr>
                <w:noProof/>
                <w:webHidden/>
              </w:rPr>
              <w:fldChar w:fldCharType="end"/>
            </w:r>
          </w:hyperlink>
        </w:p>
        <w:p w14:paraId="3FA7875E" w14:textId="77777777" w:rsidR="007D0981" w:rsidRDefault="007D0981">
          <w:pPr>
            <w:pStyle w:val="TOC2"/>
            <w:tabs>
              <w:tab w:val="right" w:leader="dot" w:pos="9350"/>
            </w:tabs>
            <w:rPr>
              <w:noProof/>
            </w:rPr>
          </w:pPr>
          <w:hyperlink w:anchor="_Toc159248490" w:history="1">
            <w:r w:rsidRPr="00707676">
              <w:rPr>
                <w:rStyle w:val="Hyperlink"/>
                <w:noProof/>
              </w:rPr>
              <w:t>1.4 Appendix: Maynard Smith’s Model</w:t>
            </w:r>
            <w:r>
              <w:rPr>
                <w:noProof/>
                <w:webHidden/>
              </w:rPr>
              <w:tab/>
            </w:r>
            <w:r>
              <w:rPr>
                <w:noProof/>
                <w:webHidden/>
              </w:rPr>
              <w:fldChar w:fldCharType="begin"/>
            </w:r>
            <w:r>
              <w:rPr>
                <w:noProof/>
                <w:webHidden/>
              </w:rPr>
              <w:instrText xml:space="preserve"> PAGEREF _Toc159248490 \h </w:instrText>
            </w:r>
            <w:r>
              <w:rPr>
                <w:noProof/>
                <w:webHidden/>
              </w:rPr>
            </w:r>
            <w:r>
              <w:rPr>
                <w:noProof/>
                <w:webHidden/>
              </w:rPr>
              <w:fldChar w:fldCharType="separate"/>
            </w:r>
            <w:r>
              <w:rPr>
                <w:noProof/>
                <w:webHidden/>
              </w:rPr>
              <w:t>14</w:t>
            </w:r>
            <w:r>
              <w:rPr>
                <w:noProof/>
                <w:webHidden/>
              </w:rPr>
              <w:fldChar w:fldCharType="end"/>
            </w:r>
          </w:hyperlink>
        </w:p>
        <w:p w14:paraId="1900EBB4" w14:textId="77777777" w:rsidR="007D0981" w:rsidRDefault="007D0981">
          <w:pPr>
            <w:pStyle w:val="TOC1"/>
            <w:tabs>
              <w:tab w:val="right" w:leader="dot" w:pos="9350"/>
            </w:tabs>
            <w:rPr>
              <w:noProof/>
            </w:rPr>
          </w:pPr>
          <w:hyperlink w:anchor="_Toc159248491" w:history="1">
            <w:r w:rsidRPr="00707676">
              <w:rPr>
                <w:rStyle w:val="Hyperlink"/>
                <w:noProof/>
              </w:rPr>
              <w:t>2. The Ecological Hypotheses</w:t>
            </w:r>
            <w:r>
              <w:rPr>
                <w:noProof/>
                <w:webHidden/>
              </w:rPr>
              <w:tab/>
            </w:r>
            <w:r>
              <w:rPr>
                <w:noProof/>
                <w:webHidden/>
              </w:rPr>
              <w:fldChar w:fldCharType="begin"/>
            </w:r>
            <w:r>
              <w:rPr>
                <w:noProof/>
                <w:webHidden/>
              </w:rPr>
              <w:instrText xml:space="preserve"> PAGEREF _Toc159248491 \h </w:instrText>
            </w:r>
            <w:r>
              <w:rPr>
                <w:noProof/>
                <w:webHidden/>
              </w:rPr>
            </w:r>
            <w:r>
              <w:rPr>
                <w:noProof/>
                <w:webHidden/>
              </w:rPr>
              <w:fldChar w:fldCharType="separate"/>
            </w:r>
            <w:r>
              <w:rPr>
                <w:noProof/>
                <w:webHidden/>
              </w:rPr>
              <w:t>16</w:t>
            </w:r>
            <w:r>
              <w:rPr>
                <w:noProof/>
                <w:webHidden/>
              </w:rPr>
              <w:fldChar w:fldCharType="end"/>
            </w:r>
          </w:hyperlink>
        </w:p>
        <w:p w14:paraId="535F27F7" w14:textId="77777777" w:rsidR="007D0981" w:rsidRDefault="007D0981">
          <w:pPr>
            <w:pStyle w:val="TOC2"/>
            <w:tabs>
              <w:tab w:val="right" w:leader="dot" w:pos="9350"/>
            </w:tabs>
            <w:rPr>
              <w:noProof/>
            </w:rPr>
          </w:pPr>
          <w:hyperlink w:anchor="_Toc159248492" w:history="1">
            <w:r w:rsidRPr="00707676">
              <w:rPr>
                <w:rStyle w:val="Hyperlink"/>
                <w:noProof/>
              </w:rPr>
              <w:t>2.1 The Lottery Model</w:t>
            </w:r>
            <w:r>
              <w:rPr>
                <w:noProof/>
                <w:webHidden/>
              </w:rPr>
              <w:tab/>
            </w:r>
            <w:r>
              <w:rPr>
                <w:noProof/>
                <w:webHidden/>
              </w:rPr>
              <w:fldChar w:fldCharType="begin"/>
            </w:r>
            <w:r>
              <w:rPr>
                <w:noProof/>
                <w:webHidden/>
              </w:rPr>
              <w:instrText xml:space="preserve"> PAGEREF _Toc159248492 \h </w:instrText>
            </w:r>
            <w:r>
              <w:rPr>
                <w:noProof/>
                <w:webHidden/>
              </w:rPr>
            </w:r>
            <w:r>
              <w:rPr>
                <w:noProof/>
                <w:webHidden/>
              </w:rPr>
              <w:fldChar w:fldCharType="separate"/>
            </w:r>
            <w:r>
              <w:rPr>
                <w:noProof/>
                <w:webHidden/>
              </w:rPr>
              <w:t>16</w:t>
            </w:r>
            <w:r>
              <w:rPr>
                <w:noProof/>
                <w:webHidden/>
              </w:rPr>
              <w:fldChar w:fldCharType="end"/>
            </w:r>
          </w:hyperlink>
        </w:p>
        <w:p w14:paraId="048D04D4" w14:textId="77777777" w:rsidR="007D0981" w:rsidRDefault="007D0981">
          <w:pPr>
            <w:pStyle w:val="TOC2"/>
            <w:tabs>
              <w:tab w:val="right" w:leader="dot" w:pos="9350"/>
            </w:tabs>
            <w:rPr>
              <w:noProof/>
            </w:rPr>
          </w:pPr>
          <w:hyperlink w:anchor="_Toc159248493" w:history="1">
            <w:r w:rsidRPr="00707676">
              <w:rPr>
                <w:rStyle w:val="Hyperlink"/>
                <w:noProof/>
              </w:rPr>
              <w:t>2.2 The Tangled Bank / Frozen Niche-Variation Model</w:t>
            </w:r>
            <w:r>
              <w:rPr>
                <w:noProof/>
                <w:webHidden/>
              </w:rPr>
              <w:tab/>
            </w:r>
            <w:r>
              <w:rPr>
                <w:noProof/>
                <w:webHidden/>
              </w:rPr>
              <w:fldChar w:fldCharType="begin"/>
            </w:r>
            <w:r>
              <w:rPr>
                <w:noProof/>
                <w:webHidden/>
              </w:rPr>
              <w:instrText xml:space="preserve"> PAGEREF _Toc159248493 \h </w:instrText>
            </w:r>
            <w:r>
              <w:rPr>
                <w:noProof/>
                <w:webHidden/>
              </w:rPr>
            </w:r>
            <w:r>
              <w:rPr>
                <w:noProof/>
                <w:webHidden/>
              </w:rPr>
              <w:fldChar w:fldCharType="separate"/>
            </w:r>
            <w:r>
              <w:rPr>
                <w:noProof/>
                <w:webHidden/>
              </w:rPr>
              <w:t>18</w:t>
            </w:r>
            <w:r>
              <w:rPr>
                <w:noProof/>
                <w:webHidden/>
              </w:rPr>
              <w:fldChar w:fldCharType="end"/>
            </w:r>
          </w:hyperlink>
        </w:p>
        <w:p w14:paraId="30FEE12E" w14:textId="77777777" w:rsidR="007D0981" w:rsidRDefault="007D0981">
          <w:pPr>
            <w:pStyle w:val="TOC2"/>
            <w:tabs>
              <w:tab w:val="right" w:leader="dot" w:pos="9350"/>
            </w:tabs>
            <w:rPr>
              <w:noProof/>
            </w:rPr>
          </w:pPr>
          <w:hyperlink w:anchor="_Toc159248494" w:history="1">
            <w:r w:rsidRPr="00707676">
              <w:rPr>
                <w:rStyle w:val="Hyperlink"/>
                <w:noProof/>
              </w:rPr>
              <w:t>2.3 The Red Queen Hypothesis</w:t>
            </w:r>
            <w:r>
              <w:rPr>
                <w:noProof/>
                <w:webHidden/>
              </w:rPr>
              <w:tab/>
            </w:r>
            <w:r>
              <w:rPr>
                <w:noProof/>
                <w:webHidden/>
              </w:rPr>
              <w:fldChar w:fldCharType="begin"/>
            </w:r>
            <w:r>
              <w:rPr>
                <w:noProof/>
                <w:webHidden/>
              </w:rPr>
              <w:instrText xml:space="preserve"> PAGEREF _Toc159248494 \h </w:instrText>
            </w:r>
            <w:r>
              <w:rPr>
                <w:noProof/>
                <w:webHidden/>
              </w:rPr>
            </w:r>
            <w:r>
              <w:rPr>
                <w:noProof/>
                <w:webHidden/>
              </w:rPr>
              <w:fldChar w:fldCharType="separate"/>
            </w:r>
            <w:r>
              <w:rPr>
                <w:noProof/>
                <w:webHidden/>
              </w:rPr>
              <w:t>21</w:t>
            </w:r>
            <w:r>
              <w:rPr>
                <w:noProof/>
                <w:webHidden/>
              </w:rPr>
              <w:fldChar w:fldCharType="end"/>
            </w:r>
          </w:hyperlink>
        </w:p>
        <w:p w14:paraId="3D1162F9" w14:textId="77777777" w:rsidR="007D0981" w:rsidRDefault="007D0981">
          <w:pPr>
            <w:pStyle w:val="TOC3"/>
            <w:tabs>
              <w:tab w:val="right" w:leader="dot" w:pos="9350"/>
            </w:tabs>
            <w:rPr>
              <w:noProof/>
            </w:rPr>
          </w:pPr>
          <w:hyperlink w:anchor="_Toc159248495" w:history="1">
            <w:r w:rsidRPr="00707676">
              <w:rPr>
                <w:rStyle w:val="Hyperlink"/>
                <w:noProof/>
              </w:rPr>
              <w:t>2.3.1 An intersection of science and literature</w:t>
            </w:r>
            <w:r>
              <w:rPr>
                <w:noProof/>
                <w:webHidden/>
              </w:rPr>
              <w:tab/>
            </w:r>
            <w:r>
              <w:rPr>
                <w:noProof/>
                <w:webHidden/>
              </w:rPr>
              <w:fldChar w:fldCharType="begin"/>
            </w:r>
            <w:r>
              <w:rPr>
                <w:noProof/>
                <w:webHidden/>
              </w:rPr>
              <w:instrText xml:space="preserve"> PAGEREF _Toc159248495 \h </w:instrText>
            </w:r>
            <w:r>
              <w:rPr>
                <w:noProof/>
                <w:webHidden/>
              </w:rPr>
            </w:r>
            <w:r>
              <w:rPr>
                <w:noProof/>
                <w:webHidden/>
              </w:rPr>
              <w:fldChar w:fldCharType="separate"/>
            </w:r>
            <w:r>
              <w:rPr>
                <w:noProof/>
                <w:webHidden/>
              </w:rPr>
              <w:t>23</w:t>
            </w:r>
            <w:r>
              <w:rPr>
                <w:noProof/>
                <w:webHidden/>
              </w:rPr>
              <w:fldChar w:fldCharType="end"/>
            </w:r>
          </w:hyperlink>
        </w:p>
        <w:p w14:paraId="5F0ECC50" w14:textId="77777777" w:rsidR="007D0981" w:rsidRDefault="007D0981">
          <w:pPr>
            <w:pStyle w:val="TOC3"/>
            <w:tabs>
              <w:tab w:val="right" w:leader="dot" w:pos="9350"/>
            </w:tabs>
            <w:rPr>
              <w:noProof/>
            </w:rPr>
          </w:pPr>
          <w:hyperlink w:anchor="_Toc159248496" w:history="1">
            <w:r w:rsidRPr="00707676">
              <w:rPr>
                <w:rStyle w:val="Hyperlink"/>
                <w:noProof/>
              </w:rPr>
              <w:t>2.3.2 Conceptual roots of the Red Queen Hypothesis</w:t>
            </w:r>
            <w:r>
              <w:rPr>
                <w:noProof/>
                <w:webHidden/>
              </w:rPr>
              <w:tab/>
            </w:r>
            <w:r>
              <w:rPr>
                <w:noProof/>
                <w:webHidden/>
              </w:rPr>
              <w:fldChar w:fldCharType="begin"/>
            </w:r>
            <w:r>
              <w:rPr>
                <w:noProof/>
                <w:webHidden/>
              </w:rPr>
              <w:instrText xml:space="preserve"> PAGEREF _Toc159248496 \h </w:instrText>
            </w:r>
            <w:r>
              <w:rPr>
                <w:noProof/>
                <w:webHidden/>
              </w:rPr>
            </w:r>
            <w:r>
              <w:rPr>
                <w:noProof/>
                <w:webHidden/>
              </w:rPr>
              <w:fldChar w:fldCharType="separate"/>
            </w:r>
            <w:r>
              <w:rPr>
                <w:noProof/>
                <w:webHidden/>
              </w:rPr>
              <w:t>25</w:t>
            </w:r>
            <w:r>
              <w:rPr>
                <w:noProof/>
                <w:webHidden/>
              </w:rPr>
              <w:fldChar w:fldCharType="end"/>
            </w:r>
          </w:hyperlink>
        </w:p>
        <w:p w14:paraId="55C0FB71" w14:textId="77777777" w:rsidR="007D0981" w:rsidRDefault="007D0981">
          <w:pPr>
            <w:pStyle w:val="TOC2"/>
            <w:tabs>
              <w:tab w:val="right" w:leader="dot" w:pos="9350"/>
            </w:tabs>
            <w:rPr>
              <w:noProof/>
            </w:rPr>
          </w:pPr>
          <w:hyperlink w:anchor="_Toc159248497" w:history="1">
            <w:r w:rsidRPr="00707676">
              <w:rPr>
                <w:rStyle w:val="Hyperlink"/>
                <w:noProof/>
              </w:rPr>
              <w:t>2.4 Summary</w:t>
            </w:r>
            <w:r>
              <w:rPr>
                <w:noProof/>
                <w:webHidden/>
              </w:rPr>
              <w:tab/>
            </w:r>
            <w:r>
              <w:rPr>
                <w:noProof/>
                <w:webHidden/>
              </w:rPr>
              <w:fldChar w:fldCharType="begin"/>
            </w:r>
            <w:r>
              <w:rPr>
                <w:noProof/>
                <w:webHidden/>
              </w:rPr>
              <w:instrText xml:space="preserve"> PAGEREF _Toc159248497 \h </w:instrText>
            </w:r>
            <w:r>
              <w:rPr>
                <w:noProof/>
                <w:webHidden/>
              </w:rPr>
            </w:r>
            <w:r>
              <w:rPr>
                <w:noProof/>
                <w:webHidden/>
              </w:rPr>
              <w:fldChar w:fldCharType="separate"/>
            </w:r>
            <w:r>
              <w:rPr>
                <w:noProof/>
                <w:webHidden/>
              </w:rPr>
              <w:t>27</w:t>
            </w:r>
            <w:r>
              <w:rPr>
                <w:noProof/>
                <w:webHidden/>
              </w:rPr>
              <w:fldChar w:fldCharType="end"/>
            </w:r>
          </w:hyperlink>
        </w:p>
        <w:p w14:paraId="677B0AD8" w14:textId="77777777" w:rsidR="007D0981" w:rsidRDefault="007D0981">
          <w:pPr>
            <w:pStyle w:val="TOC2"/>
            <w:tabs>
              <w:tab w:val="right" w:leader="dot" w:pos="9350"/>
            </w:tabs>
            <w:rPr>
              <w:noProof/>
            </w:rPr>
          </w:pPr>
          <w:hyperlink w:anchor="_Toc159248498" w:history="1">
            <w:r w:rsidRPr="00707676">
              <w:rPr>
                <w:rStyle w:val="Hyperlink"/>
                <w:noProof/>
              </w:rPr>
              <w:t>2.5 Appendix: Levene’s Model of Multiple Niche Polymorphism</w:t>
            </w:r>
            <w:r>
              <w:rPr>
                <w:noProof/>
                <w:webHidden/>
              </w:rPr>
              <w:tab/>
            </w:r>
            <w:r>
              <w:rPr>
                <w:noProof/>
                <w:webHidden/>
              </w:rPr>
              <w:fldChar w:fldCharType="begin"/>
            </w:r>
            <w:r>
              <w:rPr>
                <w:noProof/>
                <w:webHidden/>
              </w:rPr>
              <w:instrText xml:space="preserve"> PAGEREF _Toc159248498 \h </w:instrText>
            </w:r>
            <w:r>
              <w:rPr>
                <w:noProof/>
                <w:webHidden/>
              </w:rPr>
            </w:r>
            <w:r>
              <w:rPr>
                <w:noProof/>
                <w:webHidden/>
              </w:rPr>
              <w:fldChar w:fldCharType="separate"/>
            </w:r>
            <w:r>
              <w:rPr>
                <w:noProof/>
                <w:webHidden/>
              </w:rPr>
              <w:t>28</w:t>
            </w:r>
            <w:r>
              <w:rPr>
                <w:noProof/>
                <w:webHidden/>
              </w:rPr>
              <w:fldChar w:fldCharType="end"/>
            </w:r>
          </w:hyperlink>
        </w:p>
        <w:p w14:paraId="765BF6C7" w14:textId="77777777" w:rsidR="007D0981" w:rsidRDefault="007D0981">
          <w:pPr>
            <w:pStyle w:val="TOC1"/>
            <w:tabs>
              <w:tab w:val="right" w:leader="dot" w:pos="9350"/>
            </w:tabs>
            <w:rPr>
              <w:noProof/>
            </w:rPr>
          </w:pPr>
          <w:hyperlink w:anchor="_Toc159248499" w:history="1">
            <w:r w:rsidRPr="00707676">
              <w:rPr>
                <w:rStyle w:val="Hyperlink"/>
                <w:noProof/>
              </w:rPr>
              <w:t>3. Contrasting the Ecological Hypotheses</w:t>
            </w:r>
            <w:r>
              <w:rPr>
                <w:noProof/>
                <w:webHidden/>
              </w:rPr>
              <w:tab/>
            </w:r>
            <w:r>
              <w:rPr>
                <w:noProof/>
                <w:webHidden/>
              </w:rPr>
              <w:fldChar w:fldCharType="begin"/>
            </w:r>
            <w:r>
              <w:rPr>
                <w:noProof/>
                <w:webHidden/>
              </w:rPr>
              <w:instrText xml:space="preserve"> PAGEREF _Toc159248499 \h </w:instrText>
            </w:r>
            <w:r>
              <w:rPr>
                <w:noProof/>
                <w:webHidden/>
              </w:rPr>
            </w:r>
            <w:r>
              <w:rPr>
                <w:noProof/>
                <w:webHidden/>
              </w:rPr>
              <w:fldChar w:fldCharType="separate"/>
            </w:r>
            <w:r>
              <w:rPr>
                <w:noProof/>
                <w:webHidden/>
              </w:rPr>
              <w:t>31</w:t>
            </w:r>
            <w:r>
              <w:rPr>
                <w:noProof/>
                <w:webHidden/>
              </w:rPr>
              <w:fldChar w:fldCharType="end"/>
            </w:r>
          </w:hyperlink>
        </w:p>
        <w:p w14:paraId="4117293A" w14:textId="77777777" w:rsidR="007D0981" w:rsidRDefault="007D0981">
          <w:pPr>
            <w:pStyle w:val="TOC2"/>
            <w:tabs>
              <w:tab w:val="right" w:leader="dot" w:pos="9350"/>
            </w:tabs>
            <w:rPr>
              <w:noProof/>
            </w:rPr>
          </w:pPr>
          <w:hyperlink w:anchor="_Toc159248500" w:history="1">
            <w:r w:rsidRPr="00707676">
              <w:rPr>
                <w:rStyle w:val="Hyperlink"/>
                <w:noProof/>
              </w:rPr>
              <w:t>3.1 The Method of Multiple Working Hypotheses</w:t>
            </w:r>
            <w:r>
              <w:rPr>
                <w:noProof/>
                <w:webHidden/>
              </w:rPr>
              <w:tab/>
            </w:r>
            <w:r>
              <w:rPr>
                <w:noProof/>
                <w:webHidden/>
              </w:rPr>
              <w:fldChar w:fldCharType="begin"/>
            </w:r>
            <w:r>
              <w:rPr>
                <w:noProof/>
                <w:webHidden/>
              </w:rPr>
              <w:instrText xml:space="preserve"> PAGEREF _Toc159248500 \h </w:instrText>
            </w:r>
            <w:r>
              <w:rPr>
                <w:noProof/>
                <w:webHidden/>
              </w:rPr>
            </w:r>
            <w:r>
              <w:rPr>
                <w:noProof/>
                <w:webHidden/>
              </w:rPr>
              <w:fldChar w:fldCharType="separate"/>
            </w:r>
            <w:r>
              <w:rPr>
                <w:noProof/>
                <w:webHidden/>
              </w:rPr>
              <w:t>34</w:t>
            </w:r>
            <w:r>
              <w:rPr>
                <w:noProof/>
                <w:webHidden/>
              </w:rPr>
              <w:fldChar w:fldCharType="end"/>
            </w:r>
          </w:hyperlink>
        </w:p>
        <w:p w14:paraId="30957681" w14:textId="77777777" w:rsidR="007D0981" w:rsidRDefault="007D0981">
          <w:pPr>
            <w:pStyle w:val="TOC3"/>
            <w:tabs>
              <w:tab w:val="right" w:leader="dot" w:pos="9350"/>
            </w:tabs>
            <w:rPr>
              <w:noProof/>
            </w:rPr>
          </w:pPr>
          <w:hyperlink w:anchor="_Toc159248501" w:history="1">
            <w:r w:rsidRPr="00707676">
              <w:rPr>
                <w:rStyle w:val="Hyperlink"/>
                <w:noProof/>
              </w:rPr>
              <w:t>3.1.1 A side story on JMS</w:t>
            </w:r>
            <w:r>
              <w:rPr>
                <w:noProof/>
                <w:webHidden/>
              </w:rPr>
              <w:tab/>
            </w:r>
            <w:r>
              <w:rPr>
                <w:noProof/>
                <w:webHidden/>
              </w:rPr>
              <w:fldChar w:fldCharType="begin"/>
            </w:r>
            <w:r>
              <w:rPr>
                <w:noProof/>
                <w:webHidden/>
              </w:rPr>
              <w:instrText xml:space="preserve"> PAGEREF _Toc159248501 \h </w:instrText>
            </w:r>
            <w:r>
              <w:rPr>
                <w:noProof/>
                <w:webHidden/>
              </w:rPr>
            </w:r>
            <w:r>
              <w:rPr>
                <w:noProof/>
                <w:webHidden/>
              </w:rPr>
              <w:fldChar w:fldCharType="separate"/>
            </w:r>
            <w:r>
              <w:rPr>
                <w:noProof/>
                <w:webHidden/>
              </w:rPr>
              <w:t>36</w:t>
            </w:r>
            <w:r>
              <w:rPr>
                <w:noProof/>
                <w:webHidden/>
              </w:rPr>
              <w:fldChar w:fldCharType="end"/>
            </w:r>
          </w:hyperlink>
        </w:p>
        <w:p w14:paraId="70F003EF" w14:textId="77777777" w:rsidR="007D0981" w:rsidRDefault="007D0981">
          <w:pPr>
            <w:pStyle w:val="TOC2"/>
            <w:tabs>
              <w:tab w:val="right" w:leader="dot" w:pos="9350"/>
            </w:tabs>
            <w:rPr>
              <w:noProof/>
            </w:rPr>
          </w:pPr>
          <w:hyperlink w:anchor="_Toc159248502" w:history="1">
            <w:r w:rsidRPr="00707676">
              <w:rPr>
                <w:rStyle w:val="Hyperlink"/>
                <w:noProof/>
              </w:rPr>
              <w:t>3.2 The Distribution of Male Snails</w:t>
            </w:r>
            <w:r>
              <w:rPr>
                <w:noProof/>
                <w:webHidden/>
              </w:rPr>
              <w:tab/>
            </w:r>
            <w:r>
              <w:rPr>
                <w:noProof/>
                <w:webHidden/>
              </w:rPr>
              <w:fldChar w:fldCharType="begin"/>
            </w:r>
            <w:r>
              <w:rPr>
                <w:noProof/>
                <w:webHidden/>
              </w:rPr>
              <w:instrText xml:space="preserve"> PAGEREF _Toc159248502 \h </w:instrText>
            </w:r>
            <w:r>
              <w:rPr>
                <w:noProof/>
                <w:webHidden/>
              </w:rPr>
            </w:r>
            <w:r>
              <w:rPr>
                <w:noProof/>
                <w:webHidden/>
              </w:rPr>
              <w:fldChar w:fldCharType="separate"/>
            </w:r>
            <w:r>
              <w:rPr>
                <w:noProof/>
                <w:webHidden/>
              </w:rPr>
              <w:t>37</w:t>
            </w:r>
            <w:r>
              <w:rPr>
                <w:noProof/>
                <w:webHidden/>
              </w:rPr>
              <w:fldChar w:fldCharType="end"/>
            </w:r>
          </w:hyperlink>
        </w:p>
        <w:p w14:paraId="42D3D632" w14:textId="77777777" w:rsidR="007D0981" w:rsidRDefault="007D0981">
          <w:pPr>
            <w:pStyle w:val="TOC2"/>
            <w:tabs>
              <w:tab w:val="right" w:leader="dot" w:pos="9350"/>
            </w:tabs>
            <w:rPr>
              <w:noProof/>
            </w:rPr>
          </w:pPr>
          <w:hyperlink w:anchor="_Toc159248503" w:history="1">
            <w:r w:rsidRPr="00707676">
              <w:rPr>
                <w:rStyle w:val="Hyperlink"/>
                <w:noProof/>
              </w:rPr>
              <w:t>3.3 Summary</w:t>
            </w:r>
            <w:r>
              <w:rPr>
                <w:noProof/>
                <w:webHidden/>
              </w:rPr>
              <w:tab/>
            </w:r>
            <w:r>
              <w:rPr>
                <w:noProof/>
                <w:webHidden/>
              </w:rPr>
              <w:fldChar w:fldCharType="begin"/>
            </w:r>
            <w:r>
              <w:rPr>
                <w:noProof/>
                <w:webHidden/>
              </w:rPr>
              <w:instrText xml:space="preserve"> PAGEREF _Toc159248503 \h </w:instrText>
            </w:r>
            <w:r>
              <w:rPr>
                <w:noProof/>
                <w:webHidden/>
              </w:rPr>
            </w:r>
            <w:r>
              <w:rPr>
                <w:noProof/>
                <w:webHidden/>
              </w:rPr>
              <w:fldChar w:fldCharType="separate"/>
            </w:r>
            <w:r>
              <w:rPr>
                <w:noProof/>
                <w:webHidden/>
              </w:rPr>
              <w:t>42</w:t>
            </w:r>
            <w:r>
              <w:rPr>
                <w:noProof/>
                <w:webHidden/>
              </w:rPr>
              <w:fldChar w:fldCharType="end"/>
            </w:r>
          </w:hyperlink>
        </w:p>
        <w:p w14:paraId="53CD0512" w14:textId="77777777" w:rsidR="007D0981" w:rsidRDefault="007D0981">
          <w:pPr>
            <w:pStyle w:val="TOC2"/>
            <w:tabs>
              <w:tab w:val="right" w:leader="dot" w:pos="9350"/>
            </w:tabs>
            <w:rPr>
              <w:noProof/>
            </w:rPr>
          </w:pPr>
          <w:hyperlink w:anchor="_Toc159248504" w:history="1">
            <w:r w:rsidRPr="00707676">
              <w:rPr>
                <w:rStyle w:val="Hyperlink"/>
                <w:noProof/>
              </w:rPr>
              <w:t>3.4 Appendix: A Model of Phenotypic Plasticity</w:t>
            </w:r>
            <w:r>
              <w:rPr>
                <w:noProof/>
                <w:webHidden/>
              </w:rPr>
              <w:tab/>
            </w:r>
            <w:r>
              <w:rPr>
                <w:noProof/>
                <w:webHidden/>
              </w:rPr>
              <w:fldChar w:fldCharType="begin"/>
            </w:r>
            <w:r>
              <w:rPr>
                <w:noProof/>
                <w:webHidden/>
              </w:rPr>
              <w:instrText xml:space="preserve"> PAGEREF _Toc159248504 \h </w:instrText>
            </w:r>
            <w:r>
              <w:rPr>
                <w:noProof/>
                <w:webHidden/>
              </w:rPr>
            </w:r>
            <w:r>
              <w:rPr>
                <w:noProof/>
                <w:webHidden/>
              </w:rPr>
              <w:fldChar w:fldCharType="separate"/>
            </w:r>
            <w:r>
              <w:rPr>
                <w:noProof/>
                <w:webHidden/>
              </w:rPr>
              <w:t>43</w:t>
            </w:r>
            <w:r>
              <w:rPr>
                <w:noProof/>
                <w:webHidden/>
              </w:rPr>
              <w:fldChar w:fldCharType="end"/>
            </w:r>
          </w:hyperlink>
        </w:p>
        <w:p w14:paraId="7B485342" w14:textId="77777777" w:rsidR="007D0981" w:rsidRDefault="007D0981">
          <w:pPr>
            <w:pStyle w:val="TOC1"/>
            <w:tabs>
              <w:tab w:val="right" w:leader="dot" w:pos="9350"/>
            </w:tabs>
            <w:rPr>
              <w:noProof/>
            </w:rPr>
          </w:pPr>
          <w:hyperlink w:anchor="_Toc159248505" w:history="1">
            <w:r w:rsidRPr="00707676">
              <w:rPr>
                <w:rStyle w:val="Hyperlink"/>
                <w:noProof/>
              </w:rPr>
              <w:t>4. Self- / Non-Self-Recognition and Local Adaptation</w:t>
            </w:r>
            <w:r>
              <w:rPr>
                <w:noProof/>
                <w:webHidden/>
              </w:rPr>
              <w:tab/>
            </w:r>
            <w:r>
              <w:rPr>
                <w:noProof/>
                <w:webHidden/>
              </w:rPr>
              <w:fldChar w:fldCharType="begin"/>
            </w:r>
            <w:r>
              <w:rPr>
                <w:noProof/>
                <w:webHidden/>
              </w:rPr>
              <w:instrText xml:space="preserve"> PAGEREF _Toc159248505 \h </w:instrText>
            </w:r>
            <w:r>
              <w:rPr>
                <w:noProof/>
                <w:webHidden/>
              </w:rPr>
            </w:r>
            <w:r>
              <w:rPr>
                <w:noProof/>
                <w:webHidden/>
              </w:rPr>
              <w:fldChar w:fldCharType="separate"/>
            </w:r>
            <w:r>
              <w:rPr>
                <w:noProof/>
                <w:webHidden/>
              </w:rPr>
              <w:t>45</w:t>
            </w:r>
            <w:r>
              <w:rPr>
                <w:noProof/>
                <w:webHidden/>
              </w:rPr>
              <w:fldChar w:fldCharType="end"/>
            </w:r>
          </w:hyperlink>
        </w:p>
        <w:p w14:paraId="20AF155F" w14:textId="77777777" w:rsidR="007D0981" w:rsidRDefault="007D0981">
          <w:pPr>
            <w:pStyle w:val="TOC2"/>
            <w:tabs>
              <w:tab w:val="right" w:leader="dot" w:pos="9350"/>
            </w:tabs>
            <w:rPr>
              <w:noProof/>
            </w:rPr>
          </w:pPr>
          <w:hyperlink w:anchor="_Toc159248506" w:history="1">
            <w:r w:rsidRPr="00707676">
              <w:rPr>
                <w:rStyle w:val="Hyperlink"/>
                <w:noProof/>
              </w:rPr>
              <w:t>4.1 Experimental Studies of Local Adaption</w:t>
            </w:r>
            <w:r>
              <w:rPr>
                <w:noProof/>
                <w:webHidden/>
              </w:rPr>
              <w:tab/>
            </w:r>
            <w:r>
              <w:rPr>
                <w:noProof/>
                <w:webHidden/>
              </w:rPr>
              <w:fldChar w:fldCharType="begin"/>
            </w:r>
            <w:r>
              <w:rPr>
                <w:noProof/>
                <w:webHidden/>
              </w:rPr>
              <w:instrText xml:space="preserve"> PAGEREF _Toc159248506 \h </w:instrText>
            </w:r>
            <w:r>
              <w:rPr>
                <w:noProof/>
                <w:webHidden/>
              </w:rPr>
            </w:r>
            <w:r>
              <w:rPr>
                <w:noProof/>
                <w:webHidden/>
              </w:rPr>
              <w:fldChar w:fldCharType="separate"/>
            </w:r>
            <w:r>
              <w:rPr>
                <w:noProof/>
                <w:webHidden/>
              </w:rPr>
              <w:t>45</w:t>
            </w:r>
            <w:r>
              <w:rPr>
                <w:noProof/>
                <w:webHidden/>
              </w:rPr>
              <w:fldChar w:fldCharType="end"/>
            </w:r>
          </w:hyperlink>
        </w:p>
        <w:p w14:paraId="77D3A3DE" w14:textId="77777777" w:rsidR="007D0981" w:rsidRDefault="007D0981">
          <w:pPr>
            <w:pStyle w:val="TOC2"/>
            <w:tabs>
              <w:tab w:val="right" w:leader="dot" w:pos="9350"/>
            </w:tabs>
            <w:rPr>
              <w:noProof/>
            </w:rPr>
          </w:pPr>
          <w:hyperlink w:anchor="_Toc159248507" w:history="1">
            <w:r w:rsidRPr="00707676">
              <w:rPr>
                <w:rStyle w:val="Hyperlink"/>
                <w:noProof/>
              </w:rPr>
              <w:t>4.2 Self- / Non-Self-Recognition</w:t>
            </w:r>
            <w:r>
              <w:rPr>
                <w:noProof/>
                <w:webHidden/>
              </w:rPr>
              <w:tab/>
            </w:r>
            <w:r>
              <w:rPr>
                <w:noProof/>
                <w:webHidden/>
              </w:rPr>
              <w:fldChar w:fldCharType="begin"/>
            </w:r>
            <w:r>
              <w:rPr>
                <w:noProof/>
                <w:webHidden/>
              </w:rPr>
              <w:instrText xml:space="preserve"> PAGEREF _Toc159248507 \h </w:instrText>
            </w:r>
            <w:r>
              <w:rPr>
                <w:noProof/>
                <w:webHidden/>
              </w:rPr>
            </w:r>
            <w:r>
              <w:rPr>
                <w:noProof/>
                <w:webHidden/>
              </w:rPr>
              <w:fldChar w:fldCharType="separate"/>
            </w:r>
            <w:r>
              <w:rPr>
                <w:noProof/>
                <w:webHidden/>
              </w:rPr>
              <w:t>50</w:t>
            </w:r>
            <w:r>
              <w:rPr>
                <w:noProof/>
                <w:webHidden/>
              </w:rPr>
              <w:fldChar w:fldCharType="end"/>
            </w:r>
          </w:hyperlink>
        </w:p>
        <w:p w14:paraId="0D426AFF" w14:textId="77777777" w:rsidR="007D0981" w:rsidRDefault="007D0981">
          <w:pPr>
            <w:pStyle w:val="TOC2"/>
            <w:tabs>
              <w:tab w:val="right" w:leader="dot" w:pos="9350"/>
            </w:tabs>
            <w:rPr>
              <w:noProof/>
            </w:rPr>
          </w:pPr>
          <w:hyperlink w:anchor="_Toc159248508" w:history="1">
            <w:r w:rsidRPr="00707676">
              <w:rPr>
                <w:rStyle w:val="Hyperlink"/>
                <w:noProof/>
              </w:rPr>
              <w:t>4.3 Summary</w:t>
            </w:r>
            <w:r>
              <w:rPr>
                <w:noProof/>
                <w:webHidden/>
              </w:rPr>
              <w:tab/>
            </w:r>
            <w:r>
              <w:rPr>
                <w:noProof/>
                <w:webHidden/>
              </w:rPr>
              <w:fldChar w:fldCharType="begin"/>
            </w:r>
            <w:r>
              <w:rPr>
                <w:noProof/>
                <w:webHidden/>
              </w:rPr>
              <w:instrText xml:space="preserve"> PAGEREF _Toc159248508 \h </w:instrText>
            </w:r>
            <w:r>
              <w:rPr>
                <w:noProof/>
                <w:webHidden/>
              </w:rPr>
            </w:r>
            <w:r>
              <w:rPr>
                <w:noProof/>
                <w:webHidden/>
              </w:rPr>
              <w:fldChar w:fldCharType="separate"/>
            </w:r>
            <w:r>
              <w:rPr>
                <w:noProof/>
                <w:webHidden/>
              </w:rPr>
              <w:t>52</w:t>
            </w:r>
            <w:r>
              <w:rPr>
                <w:noProof/>
                <w:webHidden/>
              </w:rPr>
              <w:fldChar w:fldCharType="end"/>
            </w:r>
          </w:hyperlink>
        </w:p>
        <w:p w14:paraId="480F691D" w14:textId="77777777" w:rsidR="007D0981" w:rsidRDefault="007D0981">
          <w:pPr>
            <w:pStyle w:val="TOC1"/>
            <w:tabs>
              <w:tab w:val="right" w:leader="dot" w:pos="9350"/>
            </w:tabs>
            <w:rPr>
              <w:noProof/>
            </w:rPr>
          </w:pPr>
          <w:hyperlink w:anchor="_Toc159248509" w:history="1">
            <w:r w:rsidRPr="00707676">
              <w:rPr>
                <w:rStyle w:val="Hyperlink"/>
                <w:noProof/>
              </w:rPr>
              <w:t>5. Gynogenetic Fish</w:t>
            </w:r>
            <w:r>
              <w:rPr>
                <w:noProof/>
                <w:webHidden/>
              </w:rPr>
              <w:tab/>
            </w:r>
            <w:r>
              <w:rPr>
                <w:noProof/>
                <w:webHidden/>
              </w:rPr>
              <w:fldChar w:fldCharType="begin"/>
            </w:r>
            <w:r>
              <w:rPr>
                <w:noProof/>
                <w:webHidden/>
              </w:rPr>
              <w:instrText xml:space="preserve"> PAGEREF _Toc159248509 \h </w:instrText>
            </w:r>
            <w:r>
              <w:rPr>
                <w:noProof/>
                <w:webHidden/>
              </w:rPr>
            </w:r>
            <w:r>
              <w:rPr>
                <w:noProof/>
                <w:webHidden/>
              </w:rPr>
              <w:fldChar w:fldCharType="separate"/>
            </w:r>
            <w:r>
              <w:rPr>
                <w:noProof/>
                <w:webHidden/>
              </w:rPr>
              <w:t>53</w:t>
            </w:r>
            <w:r>
              <w:rPr>
                <w:noProof/>
                <w:webHidden/>
              </w:rPr>
              <w:fldChar w:fldCharType="end"/>
            </w:r>
          </w:hyperlink>
        </w:p>
        <w:p w14:paraId="12406B62" w14:textId="77777777" w:rsidR="007D0981" w:rsidRDefault="007D0981">
          <w:pPr>
            <w:pStyle w:val="TOC2"/>
            <w:tabs>
              <w:tab w:val="right" w:leader="dot" w:pos="9350"/>
            </w:tabs>
            <w:rPr>
              <w:noProof/>
            </w:rPr>
          </w:pPr>
          <w:hyperlink w:anchor="_Toc159248510" w:history="1">
            <w:r w:rsidRPr="00707676">
              <w:rPr>
                <w:rStyle w:val="Hyperlink"/>
                <w:noProof/>
              </w:rPr>
              <w:t>5.1 Appendix: Within Versus Between Populations</w:t>
            </w:r>
            <w:r>
              <w:rPr>
                <w:noProof/>
                <w:webHidden/>
              </w:rPr>
              <w:tab/>
            </w:r>
            <w:r>
              <w:rPr>
                <w:noProof/>
                <w:webHidden/>
              </w:rPr>
              <w:fldChar w:fldCharType="begin"/>
            </w:r>
            <w:r>
              <w:rPr>
                <w:noProof/>
                <w:webHidden/>
              </w:rPr>
              <w:instrText xml:space="preserve"> PAGEREF _Toc159248510 \h </w:instrText>
            </w:r>
            <w:r>
              <w:rPr>
                <w:noProof/>
                <w:webHidden/>
              </w:rPr>
            </w:r>
            <w:r>
              <w:rPr>
                <w:noProof/>
                <w:webHidden/>
              </w:rPr>
              <w:fldChar w:fldCharType="separate"/>
            </w:r>
            <w:r>
              <w:rPr>
                <w:noProof/>
                <w:webHidden/>
              </w:rPr>
              <w:t>58</w:t>
            </w:r>
            <w:r>
              <w:rPr>
                <w:noProof/>
                <w:webHidden/>
              </w:rPr>
              <w:fldChar w:fldCharType="end"/>
            </w:r>
          </w:hyperlink>
        </w:p>
        <w:p w14:paraId="4C644D04" w14:textId="77777777" w:rsidR="007D0981" w:rsidRDefault="007D0981">
          <w:pPr>
            <w:pStyle w:val="TOC1"/>
            <w:tabs>
              <w:tab w:val="right" w:leader="dot" w:pos="9350"/>
            </w:tabs>
            <w:rPr>
              <w:noProof/>
            </w:rPr>
          </w:pPr>
          <w:hyperlink w:anchor="_Toc159248511" w:history="1">
            <w:r w:rsidRPr="00707676">
              <w:rPr>
                <w:rStyle w:val="Hyperlink"/>
                <w:noProof/>
              </w:rPr>
              <w:t>6. The Ratchet and the Red Queen</w:t>
            </w:r>
            <w:r>
              <w:rPr>
                <w:noProof/>
                <w:webHidden/>
              </w:rPr>
              <w:tab/>
            </w:r>
            <w:r>
              <w:rPr>
                <w:noProof/>
                <w:webHidden/>
              </w:rPr>
              <w:fldChar w:fldCharType="begin"/>
            </w:r>
            <w:r>
              <w:rPr>
                <w:noProof/>
                <w:webHidden/>
              </w:rPr>
              <w:instrText xml:space="preserve"> PAGEREF _Toc159248511 \h </w:instrText>
            </w:r>
            <w:r>
              <w:rPr>
                <w:noProof/>
                <w:webHidden/>
              </w:rPr>
            </w:r>
            <w:r>
              <w:rPr>
                <w:noProof/>
                <w:webHidden/>
              </w:rPr>
              <w:fldChar w:fldCharType="separate"/>
            </w:r>
            <w:r>
              <w:rPr>
                <w:noProof/>
                <w:webHidden/>
              </w:rPr>
              <w:t>59</w:t>
            </w:r>
            <w:r>
              <w:rPr>
                <w:noProof/>
                <w:webHidden/>
              </w:rPr>
              <w:fldChar w:fldCharType="end"/>
            </w:r>
          </w:hyperlink>
        </w:p>
        <w:p w14:paraId="3EEB780E" w14:textId="77777777" w:rsidR="007D0981" w:rsidRDefault="007D0981">
          <w:pPr>
            <w:pStyle w:val="TOC2"/>
            <w:tabs>
              <w:tab w:val="right" w:leader="dot" w:pos="9350"/>
            </w:tabs>
            <w:rPr>
              <w:noProof/>
            </w:rPr>
          </w:pPr>
          <w:hyperlink w:anchor="_Toc159248512" w:history="1">
            <w:r w:rsidRPr="00707676">
              <w:rPr>
                <w:rStyle w:val="Hyperlink"/>
                <w:noProof/>
              </w:rPr>
              <w:t>6.1 The Problem</w:t>
            </w:r>
            <w:r>
              <w:rPr>
                <w:noProof/>
                <w:webHidden/>
              </w:rPr>
              <w:tab/>
            </w:r>
            <w:r>
              <w:rPr>
                <w:noProof/>
                <w:webHidden/>
              </w:rPr>
              <w:fldChar w:fldCharType="begin"/>
            </w:r>
            <w:r>
              <w:rPr>
                <w:noProof/>
                <w:webHidden/>
              </w:rPr>
              <w:instrText xml:space="preserve"> PAGEREF _Toc159248512 \h </w:instrText>
            </w:r>
            <w:r>
              <w:rPr>
                <w:noProof/>
                <w:webHidden/>
              </w:rPr>
            </w:r>
            <w:r>
              <w:rPr>
                <w:noProof/>
                <w:webHidden/>
              </w:rPr>
              <w:fldChar w:fldCharType="separate"/>
            </w:r>
            <w:r>
              <w:rPr>
                <w:noProof/>
                <w:webHidden/>
              </w:rPr>
              <w:t>59</w:t>
            </w:r>
            <w:r>
              <w:rPr>
                <w:noProof/>
                <w:webHidden/>
              </w:rPr>
              <w:fldChar w:fldCharType="end"/>
            </w:r>
          </w:hyperlink>
        </w:p>
        <w:p w14:paraId="6A69969D" w14:textId="77777777" w:rsidR="007D0981" w:rsidRDefault="007D0981">
          <w:pPr>
            <w:pStyle w:val="TOC2"/>
            <w:tabs>
              <w:tab w:val="right" w:leader="dot" w:pos="9350"/>
            </w:tabs>
            <w:rPr>
              <w:noProof/>
            </w:rPr>
          </w:pPr>
          <w:hyperlink w:anchor="_Toc159248513" w:history="1">
            <w:r w:rsidRPr="00707676">
              <w:rPr>
                <w:rStyle w:val="Hyperlink"/>
                <w:noProof/>
              </w:rPr>
              <w:t>6.2 Muller’s Ratchet</w:t>
            </w:r>
            <w:r>
              <w:rPr>
                <w:noProof/>
                <w:webHidden/>
              </w:rPr>
              <w:tab/>
            </w:r>
            <w:r>
              <w:rPr>
                <w:noProof/>
                <w:webHidden/>
              </w:rPr>
              <w:fldChar w:fldCharType="begin"/>
            </w:r>
            <w:r>
              <w:rPr>
                <w:noProof/>
                <w:webHidden/>
              </w:rPr>
              <w:instrText xml:space="preserve"> PAGEREF _Toc159248513 \h </w:instrText>
            </w:r>
            <w:r>
              <w:rPr>
                <w:noProof/>
                <w:webHidden/>
              </w:rPr>
            </w:r>
            <w:r>
              <w:rPr>
                <w:noProof/>
                <w:webHidden/>
              </w:rPr>
              <w:fldChar w:fldCharType="separate"/>
            </w:r>
            <w:r>
              <w:rPr>
                <w:noProof/>
                <w:webHidden/>
              </w:rPr>
              <w:t>60</w:t>
            </w:r>
            <w:r>
              <w:rPr>
                <w:noProof/>
                <w:webHidden/>
              </w:rPr>
              <w:fldChar w:fldCharType="end"/>
            </w:r>
          </w:hyperlink>
        </w:p>
        <w:p w14:paraId="6FC3E398" w14:textId="77777777" w:rsidR="007D0981" w:rsidRDefault="007D0981">
          <w:pPr>
            <w:pStyle w:val="TOC2"/>
            <w:tabs>
              <w:tab w:val="right" w:leader="dot" w:pos="9350"/>
            </w:tabs>
            <w:rPr>
              <w:noProof/>
            </w:rPr>
          </w:pPr>
          <w:hyperlink w:anchor="_Toc159248514" w:history="1">
            <w:r w:rsidRPr="00707676">
              <w:rPr>
                <w:rStyle w:val="Hyperlink"/>
                <w:noProof/>
              </w:rPr>
              <w:t>6.3 Synergistic Ideas? The Ratchet and the Red Queen</w:t>
            </w:r>
            <w:r>
              <w:rPr>
                <w:noProof/>
                <w:webHidden/>
              </w:rPr>
              <w:tab/>
            </w:r>
            <w:r>
              <w:rPr>
                <w:noProof/>
                <w:webHidden/>
              </w:rPr>
              <w:fldChar w:fldCharType="begin"/>
            </w:r>
            <w:r>
              <w:rPr>
                <w:noProof/>
                <w:webHidden/>
              </w:rPr>
              <w:instrText xml:space="preserve"> PAGEREF _Toc159248514 \h </w:instrText>
            </w:r>
            <w:r>
              <w:rPr>
                <w:noProof/>
                <w:webHidden/>
              </w:rPr>
            </w:r>
            <w:r>
              <w:rPr>
                <w:noProof/>
                <w:webHidden/>
              </w:rPr>
              <w:fldChar w:fldCharType="separate"/>
            </w:r>
            <w:r>
              <w:rPr>
                <w:noProof/>
                <w:webHidden/>
              </w:rPr>
              <w:t>61</w:t>
            </w:r>
            <w:r>
              <w:rPr>
                <w:noProof/>
                <w:webHidden/>
              </w:rPr>
              <w:fldChar w:fldCharType="end"/>
            </w:r>
          </w:hyperlink>
        </w:p>
        <w:p w14:paraId="48FF20E6" w14:textId="77777777" w:rsidR="007D0981" w:rsidRDefault="007D0981">
          <w:pPr>
            <w:pStyle w:val="TOC3"/>
            <w:tabs>
              <w:tab w:val="right" w:leader="dot" w:pos="9350"/>
            </w:tabs>
            <w:rPr>
              <w:noProof/>
            </w:rPr>
          </w:pPr>
          <w:hyperlink w:anchor="_Toc159248515" w:history="1">
            <w:r w:rsidRPr="00707676">
              <w:rPr>
                <w:rStyle w:val="Hyperlink"/>
                <w:noProof/>
              </w:rPr>
              <w:t>6.3.1 What about parasites?</w:t>
            </w:r>
            <w:r>
              <w:rPr>
                <w:noProof/>
                <w:webHidden/>
              </w:rPr>
              <w:tab/>
            </w:r>
            <w:r>
              <w:rPr>
                <w:noProof/>
                <w:webHidden/>
              </w:rPr>
              <w:fldChar w:fldCharType="begin"/>
            </w:r>
            <w:r>
              <w:rPr>
                <w:noProof/>
                <w:webHidden/>
              </w:rPr>
              <w:instrText xml:space="preserve"> PAGEREF _Toc159248515 \h </w:instrText>
            </w:r>
            <w:r>
              <w:rPr>
                <w:noProof/>
                <w:webHidden/>
              </w:rPr>
            </w:r>
            <w:r>
              <w:rPr>
                <w:noProof/>
                <w:webHidden/>
              </w:rPr>
              <w:fldChar w:fldCharType="separate"/>
            </w:r>
            <w:r>
              <w:rPr>
                <w:noProof/>
                <w:webHidden/>
              </w:rPr>
              <w:t>68</w:t>
            </w:r>
            <w:r>
              <w:rPr>
                <w:noProof/>
                <w:webHidden/>
              </w:rPr>
              <w:fldChar w:fldCharType="end"/>
            </w:r>
          </w:hyperlink>
        </w:p>
        <w:p w14:paraId="7E9DF9EF" w14:textId="77777777" w:rsidR="007D0981" w:rsidRDefault="007D0981">
          <w:pPr>
            <w:pStyle w:val="TOC2"/>
            <w:tabs>
              <w:tab w:val="right" w:leader="dot" w:pos="9350"/>
            </w:tabs>
            <w:rPr>
              <w:noProof/>
            </w:rPr>
          </w:pPr>
          <w:hyperlink w:anchor="_Toc159248516" w:history="1">
            <w:r w:rsidRPr="00707676">
              <w:rPr>
                <w:rStyle w:val="Hyperlink"/>
                <w:noProof/>
              </w:rPr>
              <w:t>6.4 Summary</w:t>
            </w:r>
            <w:r>
              <w:rPr>
                <w:noProof/>
                <w:webHidden/>
              </w:rPr>
              <w:tab/>
            </w:r>
            <w:r>
              <w:rPr>
                <w:noProof/>
                <w:webHidden/>
              </w:rPr>
              <w:fldChar w:fldCharType="begin"/>
            </w:r>
            <w:r>
              <w:rPr>
                <w:noProof/>
                <w:webHidden/>
              </w:rPr>
              <w:instrText xml:space="preserve"> PAGEREF _Toc159248516 \h </w:instrText>
            </w:r>
            <w:r>
              <w:rPr>
                <w:noProof/>
                <w:webHidden/>
              </w:rPr>
            </w:r>
            <w:r>
              <w:rPr>
                <w:noProof/>
                <w:webHidden/>
              </w:rPr>
              <w:fldChar w:fldCharType="separate"/>
            </w:r>
            <w:r>
              <w:rPr>
                <w:noProof/>
                <w:webHidden/>
              </w:rPr>
              <w:t>69</w:t>
            </w:r>
            <w:r>
              <w:rPr>
                <w:noProof/>
                <w:webHidden/>
              </w:rPr>
              <w:fldChar w:fldCharType="end"/>
            </w:r>
          </w:hyperlink>
        </w:p>
        <w:p w14:paraId="0D8A32A0" w14:textId="77777777" w:rsidR="007D0981" w:rsidRDefault="007D0981">
          <w:pPr>
            <w:pStyle w:val="TOC2"/>
            <w:tabs>
              <w:tab w:val="right" w:leader="dot" w:pos="9350"/>
            </w:tabs>
            <w:rPr>
              <w:noProof/>
            </w:rPr>
          </w:pPr>
          <w:hyperlink w:anchor="_Toc159248517" w:history="1">
            <w:r w:rsidRPr="00707676">
              <w:rPr>
                <w:rStyle w:val="Hyperlink"/>
                <w:noProof/>
              </w:rPr>
              <w:t>6.5 Appendix: Down the Ratchet Hole</w:t>
            </w:r>
            <w:r>
              <w:rPr>
                <w:noProof/>
                <w:webHidden/>
              </w:rPr>
              <w:tab/>
            </w:r>
            <w:r>
              <w:rPr>
                <w:noProof/>
                <w:webHidden/>
              </w:rPr>
              <w:fldChar w:fldCharType="begin"/>
            </w:r>
            <w:r>
              <w:rPr>
                <w:noProof/>
                <w:webHidden/>
              </w:rPr>
              <w:instrText xml:space="preserve"> PAGEREF _Toc159248517 \h </w:instrText>
            </w:r>
            <w:r>
              <w:rPr>
                <w:noProof/>
                <w:webHidden/>
              </w:rPr>
            </w:r>
            <w:r>
              <w:rPr>
                <w:noProof/>
                <w:webHidden/>
              </w:rPr>
              <w:fldChar w:fldCharType="separate"/>
            </w:r>
            <w:r>
              <w:rPr>
                <w:noProof/>
                <w:webHidden/>
              </w:rPr>
              <w:t>69</w:t>
            </w:r>
            <w:r>
              <w:rPr>
                <w:noProof/>
                <w:webHidden/>
              </w:rPr>
              <w:fldChar w:fldCharType="end"/>
            </w:r>
          </w:hyperlink>
        </w:p>
        <w:p w14:paraId="09C4CDB7" w14:textId="77777777" w:rsidR="007D0981" w:rsidRDefault="007D0981">
          <w:pPr>
            <w:pStyle w:val="TOC1"/>
            <w:tabs>
              <w:tab w:val="right" w:leader="dot" w:pos="9350"/>
            </w:tabs>
            <w:rPr>
              <w:noProof/>
            </w:rPr>
          </w:pPr>
          <w:hyperlink w:anchor="_Toc159248518" w:history="1">
            <w:r w:rsidRPr="00707676">
              <w:rPr>
                <w:rStyle w:val="Hyperlink"/>
                <w:noProof/>
              </w:rPr>
              <w:t>7. Overview and Future Directions</w:t>
            </w:r>
            <w:r>
              <w:rPr>
                <w:noProof/>
                <w:webHidden/>
              </w:rPr>
              <w:tab/>
            </w:r>
            <w:r>
              <w:rPr>
                <w:noProof/>
                <w:webHidden/>
              </w:rPr>
              <w:fldChar w:fldCharType="begin"/>
            </w:r>
            <w:r>
              <w:rPr>
                <w:noProof/>
                <w:webHidden/>
              </w:rPr>
              <w:instrText xml:space="preserve"> PAGEREF _Toc159248518 \h </w:instrText>
            </w:r>
            <w:r>
              <w:rPr>
                <w:noProof/>
                <w:webHidden/>
              </w:rPr>
            </w:r>
            <w:r>
              <w:rPr>
                <w:noProof/>
                <w:webHidden/>
              </w:rPr>
              <w:fldChar w:fldCharType="separate"/>
            </w:r>
            <w:r>
              <w:rPr>
                <w:noProof/>
                <w:webHidden/>
              </w:rPr>
              <w:t>71</w:t>
            </w:r>
            <w:r>
              <w:rPr>
                <w:noProof/>
                <w:webHidden/>
              </w:rPr>
              <w:fldChar w:fldCharType="end"/>
            </w:r>
          </w:hyperlink>
        </w:p>
        <w:p w14:paraId="5E1491B0" w14:textId="77777777" w:rsidR="007D0981" w:rsidRDefault="007D0981">
          <w:pPr>
            <w:pStyle w:val="TOC2"/>
            <w:tabs>
              <w:tab w:val="right" w:leader="dot" w:pos="9350"/>
            </w:tabs>
            <w:rPr>
              <w:noProof/>
            </w:rPr>
          </w:pPr>
          <w:hyperlink w:anchor="_Toc159248519" w:history="1">
            <w:r w:rsidRPr="00707676">
              <w:rPr>
                <w:rStyle w:val="Hyperlink"/>
                <w:noProof/>
              </w:rPr>
              <w:t>7.1 Overview of Key Points</w:t>
            </w:r>
            <w:r>
              <w:rPr>
                <w:noProof/>
                <w:webHidden/>
              </w:rPr>
              <w:tab/>
            </w:r>
            <w:r>
              <w:rPr>
                <w:noProof/>
                <w:webHidden/>
              </w:rPr>
              <w:fldChar w:fldCharType="begin"/>
            </w:r>
            <w:r>
              <w:rPr>
                <w:noProof/>
                <w:webHidden/>
              </w:rPr>
              <w:instrText xml:space="preserve"> PAGEREF _Toc159248519 \h </w:instrText>
            </w:r>
            <w:r>
              <w:rPr>
                <w:noProof/>
                <w:webHidden/>
              </w:rPr>
            </w:r>
            <w:r>
              <w:rPr>
                <w:noProof/>
                <w:webHidden/>
              </w:rPr>
              <w:fldChar w:fldCharType="separate"/>
            </w:r>
            <w:r>
              <w:rPr>
                <w:noProof/>
                <w:webHidden/>
              </w:rPr>
              <w:t>71</w:t>
            </w:r>
            <w:r>
              <w:rPr>
                <w:noProof/>
                <w:webHidden/>
              </w:rPr>
              <w:fldChar w:fldCharType="end"/>
            </w:r>
          </w:hyperlink>
        </w:p>
        <w:p w14:paraId="5625ED38" w14:textId="77777777" w:rsidR="007D0981" w:rsidRDefault="007D0981">
          <w:pPr>
            <w:pStyle w:val="TOC2"/>
            <w:tabs>
              <w:tab w:val="right" w:leader="dot" w:pos="9350"/>
            </w:tabs>
            <w:rPr>
              <w:noProof/>
            </w:rPr>
          </w:pPr>
          <w:hyperlink w:anchor="_Toc159248520" w:history="1">
            <w:r w:rsidRPr="00707676">
              <w:rPr>
                <w:rStyle w:val="Hyperlink"/>
                <w:noProof/>
              </w:rPr>
              <w:t>7.2 Future Directions</w:t>
            </w:r>
            <w:r>
              <w:rPr>
                <w:noProof/>
                <w:webHidden/>
              </w:rPr>
              <w:tab/>
            </w:r>
            <w:r>
              <w:rPr>
                <w:noProof/>
                <w:webHidden/>
              </w:rPr>
              <w:fldChar w:fldCharType="begin"/>
            </w:r>
            <w:r>
              <w:rPr>
                <w:noProof/>
                <w:webHidden/>
              </w:rPr>
              <w:instrText xml:space="preserve"> PAGEREF _Toc159248520 \h </w:instrText>
            </w:r>
            <w:r>
              <w:rPr>
                <w:noProof/>
                <w:webHidden/>
              </w:rPr>
            </w:r>
            <w:r>
              <w:rPr>
                <w:noProof/>
                <w:webHidden/>
              </w:rPr>
              <w:fldChar w:fldCharType="separate"/>
            </w:r>
            <w:r>
              <w:rPr>
                <w:noProof/>
                <w:webHidden/>
              </w:rPr>
              <w:t>73</w:t>
            </w:r>
            <w:r>
              <w:rPr>
                <w:noProof/>
                <w:webHidden/>
              </w:rPr>
              <w:fldChar w:fldCharType="end"/>
            </w:r>
          </w:hyperlink>
        </w:p>
        <w:p w14:paraId="080A66D9" w14:textId="77777777" w:rsidR="007D0981" w:rsidRDefault="007D0981">
          <w:pPr>
            <w:pStyle w:val="TOC2"/>
            <w:tabs>
              <w:tab w:val="right" w:leader="dot" w:pos="9350"/>
            </w:tabs>
            <w:rPr>
              <w:noProof/>
            </w:rPr>
          </w:pPr>
          <w:hyperlink w:anchor="_Toc159248521" w:history="1">
            <w:r w:rsidRPr="00707676">
              <w:rPr>
                <w:rStyle w:val="Hyperlink"/>
                <w:noProof/>
              </w:rPr>
              <w:t>7.3 Questions for Advanced Study</w:t>
            </w:r>
            <w:r>
              <w:rPr>
                <w:noProof/>
                <w:webHidden/>
              </w:rPr>
              <w:tab/>
            </w:r>
            <w:r>
              <w:rPr>
                <w:noProof/>
                <w:webHidden/>
              </w:rPr>
              <w:fldChar w:fldCharType="begin"/>
            </w:r>
            <w:r>
              <w:rPr>
                <w:noProof/>
                <w:webHidden/>
              </w:rPr>
              <w:instrText xml:space="preserve"> PAGEREF _Toc159248521 \h </w:instrText>
            </w:r>
            <w:r>
              <w:rPr>
                <w:noProof/>
                <w:webHidden/>
              </w:rPr>
            </w:r>
            <w:r>
              <w:rPr>
                <w:noProof/>
                <w:webHidden/>
              </w:rPr>
              <w:fldChar w:fldCharType="separate"/>
            </w:r>
            <w:r>
              <w:rPr>
                <w:noProof/>
                <w:webHidden/>
              </w:rPr>
              <w:t>73</w:t>
            </w:r>
            <w:r>
              <w:rPr>
                <w:noProof/>
                <w:webHidden/>
              </w:rPr>
              <w:fldChar w:fldCharType="end"/>
            </w:r>
          </w:hyperlink>
        </w:p>
        <w:p w14:paraId="12183CB8" w14:textId="77777777" w:rsidR="007D0981" w:rsidRDefault="007D0981">
          <w:pPr>
            <w:pStyle w:val="TOC1"/>
            <w:tabs>
              <w:tab w:val="right" w:leader="dot" w:pos="9350"/>
            </w:tabs>
            <w:rPr>
              <w:noProof/>
            </w:rPr>
          </w:pPr>
          <w:hyperlink w:anchor="_Toc159248522" w:history="1">
            <w:r w:rsidRPr="00707676">
              <w:rPr>
                <w:rStyle w:val="Hyperlink"/>
                <w:noProof/>
              </w:rPr>
              <w:t>Glossary</w:t>
            </w:r>
            <w:r>
              <w:rPr>
                <w:noProof/>
                <w:webHidden/>
              </w:rPr>
              <w:tab/>
            </w:r>
            <w:r>
              <w:rPr>
                <w:noProof/>
                <w:webHidden/>
              </w:rPr>
              <w:fldChar w:fldCharType="begin"/>
            </w:r>
            <w:r>
              <w:rPr>
                <w:noProof/>
                <w:webHidden/>
              </w:rPr>
              <w:instrText xml:space="preserve"> PAGEREF _Toc159248522 \h </w:instrText>
            </w:r>
            <w:r>
              <w:rPr>
                <w:noProof/>
                <w:webHidden/>
              </w:rPr>
            </w:r>
            <w:r>
              <w:rPr>
                <w:noProof/>
                <w:webHidden/>
              </w:rPr>
              <w:fldChar w:fldCharType="separate"/>
            </w:r>
            <w:r>
              <w:rPr>
                <w:noProof/>
                <w:webHidden/>
              </w:rPr>
              <w:t>75</w:t>
            </w:r>
            <w:r>
              <w:rPr>
                <w:noProof/>
                <w:webHidden/>
              </w:rPr>
              <w:fldChar w:fldCharType="end"/>
            </w:r>
          </w:hyperlink>
        </w:p>
        <w:p w14:paraId="46DE26ED" w14:textId="77777777" w:rsidR="007D0981" w:rsidRDefault="007D0981">
          <w:pPr>
            <w:pStyle w:val="TOC1"/>
            <w:tabs>
              <w:tab w:val="right" w:leader="dot" w:pos="9350"/>
            </w:tabs>
            <w:rPr>
              <w:noProof/>
            </w:rPr>
          </w:pPr>
          <w:hyperlink w:anchor="_Toc159248523" w:history="1">
            <w:r w:rsidRPr="00707676">
              <w:rPr>
                <w:rStyle w:val="Hyperlink"/>
                <w:noProof/>
              </w:rPr>
              <w:t>References</w:t>
            </w:r>
            <w:r>
              <w:rPr>
                <w:noProof/>
                <w:webHidden/>
              </w:rPr>
              <w:tab/>
            </w:r>
            <w:r>
              <w:rPr>
                <w:noProof/>
                <w:webHidden/>
              </w:rPr>
              <w:fldChar w:fldCharType="begin"/>
            </w:r>
            <w:r>
              <w:rPr>
                <w:noProof/>
                <w:webHidden/>
              </w:rPr>
              <w:instrText xml:space="preserve"> PAGEREF _Toc159248523 \h </w:instrText>
            </w:r>
            <w:r>
              <w:rPr>
                <w:noProof/>
                <w:webHidden/>
              </w:rPr>
            </w:r>
            <w:r>
              <w:rPr>
                <w:noProof/>
                <w:webHidden/>
              </w:rPr>
              <w:fldChar w:fldCharType="separate"/>
            </w:r>
            <w:r>
              <w:rPr>
                <w:noProof/>
                <w:webHidden/>
              </w:rPr>
              <w:t>76</w:t>
            </w:r>
            <w:r>
              <w:rPr>
                <w:noProof/>
                <w:webHidden/>
              </w:rPr>
              <w:fldChar w:fldCharType="end"/>
            </w:r>
          </w:hyperlink>
        </w:p>
        <w:p w14:paraId="538821E5" w14:textId="77777777" w:rsidR="00FD0189" w:rsidRDefault="00000000">
          <w:r>
            <w:fldChar w:fldCharType="end"/>
          </w:r>
        </w:p>
      </w:sdtContent>
    </w:sdt>
    <w:p w14:paraId="28893931" w14:textId="77777777" w:rsidR="00FD0189" w:rsidRDefault="00000000">
      <w:pPr>
        <w:pStyle w:val="Heading1"/>
      </w:pPr>
      <w:bookmarkStart w:id="0" w:name="front-matter"/>
      <w:bookmarkStart w:id="1" w:name="_Toc159248475"/>
      <w:r>
        <w:lastRenderedPageBreak/>
        <w:t>Front Matter</w:t>
      </w:r>
      <w:bookmarkEnd w:id="1"/>
    </w:p>
    <w:p w14:paraId="3363CEF7" w14:textId="77777777" w:rsidR="00FD0189" w:rsidRDefault="00000000">
      <w:pPr>
        <w:pStyle w:val="Heading2"/>
      </w:pPr>
      <w:bookmarkStart w:id="2" w:name="acknowledgements"/>
      <w:bookmarkStart w:id="3" w:name="_Toc159248476"/>
      <w:r>
        <w:t>Acknowledgements</w:t>
      </w:r>
      <w:bookmarkEnd w:id="3"/>
    </w:p>
    <w:p w14:paraId="17079C1F" w14:textId="77777777" w:rsidR="00FD0189" w:rsidRDefault="00000000">
      <w:pPr>
        <w:pStyle w:val="FirstParagraph"/>
      </w:pPr>
      <w:r>
        <w:t xml:space="preserve">I gratefully acknowledge helpful comments from Amrita Bhattacharya, Zoe </w:t>
      </w:r>
      <w:proofErr w:type="spellStart"/>
      <w:r>
        <w:t>Dinges</w:t>
      </w:r>
      <w:proofErr w:type="spellEnd"/>
      <w:r>
        <w:t xml:space="preserve">, Kara Million, Deanna Soper, Mike Wade, Jukka Jokela, Dorota </w:t>
      </w:r>
      <w:proofErr w:type="spellStart"/>
      <w:r>
        <w:t>Paczesniak</w:t>
      </w:r>
      <w:proofErr w:type="spellEnd"/>
      <w:r>
        <w:t xml:space="preserve">, Steve Howard, Lynda Delph, Clark Craddock, Robert </w:t>
      </w:r>
      <w:proofErr w:type="spellStart"/>
      <w:r>
        <w:t>Vrijenhoek</w:t>
      </w:r>
      <w:proofErr w:type="spellEnd"/>
      <w:r>
        <w:t xml:space="preserve">, Jan McKenzie, Mike </w:t>
      </w:r>
      <w:proofErr w:type="spellStart"/>
      <w:r>
        <w:t>Winterbourn</w:t>
      </w:r>
      <w:proofErr w:type="spellEnd"/>
      <w:r>
        <w:t xml:space="preserve">, Stuart West, Bob Holt, Oren Harman, and especially Maurine Neiman and her lab group at the University of Iowa. Additional comments are welcome by </w:t>
      </w:r>
      <w:hyperlink r:id="rId7">
        <w:r>
          <w:rPr>
            <w:rStyle w:val="Hyperlink"/>
          </w:rPr>
          <w:t>email</w:t>
        </w:r>
      </w:hyperlink>
      <w:r>
        <w:t>.</w:t>
      </w:r>
    </w:p>
    <w:p w14:paraId="19FD0231" w14:textId="77777777" w:rsidR="00FD0189" w:rsidRDefault="00000000">
      <w:pPr>
        <w:pStyle w:val="BodyText"/>
      </w:pPr>
      <w:r>
        <w:t xml:space="preserve">Special thanks to Zoe Michelle </w:t>
      </w:r>
      <w:proofErr w:type="spellStart"/>
      <w:r>
        <w:t>Dinges</w:t>
      </w:r>
      <w:proofErr w:type="spellEnd"/>
      <w:r>
        <w:t xml:space="preserve"> (ZMD). Zoe redrew the figures, and she created the beautiful illustrations.</w:t>
      </w:r>
    </w:p>
    <w:p w14:paraId="1A49DCBB" w14:textId="77777777" w:rsidR="00FD0189" w:rsidRDefault="00000000">
      <w:pPr>
        <w:pStyle w:val="BodyText"/>
      </w:pPr>
      <w:r>
        <w:t xml:space="preserve">Special thanks also to Adam Mazel of Indiana University Libraries for preparing the document for online publication. I am also grateful to Bart </w:t>
      </w:r>
      <w:proofErr w:type="spellStart"/>
      <w:r>
        <w:t>Zijlstra</w:t>
      </w:r>
      <w:proofErr w:type="spellEnd"/>
      <w:r>
        <w:t xml:space="preserve"> and Gabe Harp for permission to use their original photographs.</w:t>
      </w:r>
    </w:p>
    <w:p w14:paraId="1EA5BDFD" w14:textId="77777777" w:rsidR="00FD0189" w:rsidRDefault="00000000">
      <w:pPr>
        <w:pStyle w:val="BodyText"/>
      </w:pPr>
      <w:r>
        <w:t>This project was supported by the NSF OPUS program for the synthesis of biological research (DEB-1906465). I am also grateful to the Institute for Advanced Study in Berlin (</w:t>
      </w:r>
      <w:proofErr w:type="spellStart"/>
      <w:r>
        <w:t>Wissenschaftskolleg</w:t>
      </w:r>
      <w:proofErr w:type="spellEnd"/>
      <w:r>
        <w:t xml:space="preserve"> </w:t>
      </w:r>
      <w:proofErr w:type="spellStart"/>
      <w:r>
        <w:t>zu</w:t>
      </w:r>
      <w:proofErr w:type="spellEnd"/>
      <w:r>
        <w:t xml:space="preserve"> Berlin) for my stay as a “partner” during 2022-2023.</w:t>
      </w:r>
    </w:p>
    <w:p w14:paraId="57765465" w14:textId="77777777" w:rsidR="00FD0189" w:rsidRDefault="00000000">
      <w:pPr>
        <w:pStyle w:val="Heading2"/>
      </w:pPr>
      <w:bookmarkStart w:id="4" w:name="how-to-use"/>
      <w:bookmarkStart w:id="5" w:name="_Toc159248477"/>
      <w:bookmarkEnd w:id="2"/>
      <w:r>
        <w:t>How to Use</w:t>
      </w:r>
      <w:bookmarkEnd w:id="5"/>
    </w:p>
    <w:p w14:paraId="71909D73" w14:textId="77777777" w:rsidR="00FD0189" w:rsidRDefault="00000000">
      <w:pPr>
        <w:pStyle w:val="Compact"/>
        <w:numPr>
          <w:ilvl w:val="0"/>
          <w:numId w:val="13"/>
        </w:numPr>
      </w:pPr>
      <w:r>
        <w:rPr>
          <w:b/>
          <w:bCs/>
        </w:rPr>
        <w:t>How to Access this Book in Other Formats</w:t>
      </w:r>
    </w:p>
    <w:p w14:paraId="53F54128" w14:textId="77777777" w:rsidR="00FD0189" w:rsidRDefault="00000000">
      <w:pPr>
        <w:pStyle w:val="Compact"/>
        <w:numPr>
          <w:ilvl w:val="1"/>
          <w:numId w:val="14"/>
        </w:numPr>
      </w:pPr>
      <w:r>
        <w:rPr>
          <w:b/>
          <w:bCs/>
        </w:rPr>
        <w:t>DOCX:</w:t>
      </w:r>
      <w:r>
        <w:t xml:space="preserve"> click  in the lefthand sidebar of the </w:t>
      </w:r>
      <w:hyperlink r:id="rId8">
        <w:r>
          <w:rPr>
            <w:rStyle w:val="Hyperlink"/>
          </w:rPr>
          <w:t>HTML version</w:t>
        </w:r>
      </w:hyperlink>
      <w:r>
        <w:t xml:space="preserve"> or click </w:t>
      </w:r>
      <w:hyperlink r:id="rId9">
        <w:r>
          <w:rPr>
            <w:rStyle w:val="Hyperlink"/>
          </w:rPr>
          <w:t>here</w:t>
        </w:r>
      </w:hyperlink>
      <w:r>
        <w:t>.</w:t>
      </w:r>
    </w:p>
    <w:p w14:paraId="02D18975" w14:textId="77777777" w:rsidR="00FD0189" w:rsidRDefault="00000000">
      <w:pPr>
        <w:pStyle w:val="Compact"/>
        <w:numPr>
          <w:ilvl w:val="2"/>
          <w:numId w:val="15"/>
        </w:numPr>
      </w:pPr>
      <w:r>
        <w:t>DOCX’s benefits include reusability (revising, remixing, etc.) for those with Microsoft Word</w:t>
      </w:r>
    </w:p>
    <w:p w14:paraId="3B92EC86" w14:textId="77777777" w:rsidR="00FD0189" w:rsidRDefault="00000000">
      <w:pPr>
        <w:pStyle w:val="Compact"/>
        <w:numPr>
          <w:ilvl w:val="1"/>
          <w:numId w:val="14"/>
        </w:numPr>
      </w:pPr>
      <w:r>
        <w:rPr>
          <w:b/>
          <w:bCs/>
        </w:rPr>
        <w:t>EPUB:</w:t>
      </w:r>
      <w:r>
        <w:t xml:space="preserve"> click  in the lefthand sidebar of the </w:t>
      </w:r>
      <w:hyperlink r:id="rId10">
        <w:r>
          <w:rPr>
            <w:rStyle w:val="Hyperlink"/>
          </w:rPr>
          <w:t>HTML version</w:t>
        </w:r>
      </w:hyperlink>
      <w:r>
        <w:t xml:space="preserve"> or click </w:t>
      </w:r>
      <w:hyperlink r:id="rId11">
        <w:r>
          <w:rPr>
            <w:rStyle w:val="Hyperlink"/>
          </w:rPr>
          <w:t>here</w:t>
        </w:r>
      </w:hyperlink>
      <w:r>
        <w:t>.</w:t>
      </w:r>
    </w:p>
    <w:p w14:paraId="0E88B22B" w14:textId="77777777" w:rsidR="00FD0189" w:rsidRDefault="00000000">
      <w:pPr>
        <w:pStyle w:val="Compact"/>
        <w:numPr>
          <w:ilvl w:val="2"/>
          <w:numId w:val="16"/>
        </w:numPr>
      </w:pPr>
      <w:r>
        <w:t>EPUB’s benefits include universal accessibility, manipulability (via eReader options), dynamic media, interactivity, reflowable text, and offline reading</w:t>
      </w:r>
    </w:p>
    <w:p w14:paraId="2D27CBCD" w14:textId="77777777" w:rsidR="00FD0189" w:rsidRDefault="00000000">
      <w:pPr>
        <w:pStyle w:val="Compact"/>
        <w:numPr>
          <w:ilvl w:val="1"/>
          <w:numId w:val="14"/>
        </w:numPr>
      </w:pPr>
      <w:r>
        <w:rPr>
          <w:b/>
          <w:bCs/>
        </w:rPr>
        <w:t>HTML:</w:t>
      </w:r>
      <w:r>
        <w:t xml:space="preserve"> click </w:t>
      </w:r>
      <w:hyperlink r:id="rId12">
        <w:r>
          <w:rPr>
            <w:rStyle w:val="Hyperlink"/>
          </w:rPr>
          <w:t>here</w:t>
        </w:r>
      </w:hyperlink>
      <w:r>
        <w:t>.</w:t>
      </w:r>
    </w:p>
    <w:p w14:paraId="6AC24971" w14:textId="77777777" w:rsidR="00FD0189" w:rsidRDefault="00000000">
      <w:pPr>
        <w:pStyle w:val="Compact"/>
        <w:numPr>
          <w:ilvl w:val="2"/>
          <w:numId w:val="17"/>
        </w:numPr>
      </w:pPr>
      <w:r>
        <w:t xml:space="preserve">HTML’s benefits include machine readability, dynamic media, interactivity, </w:t>
      </w:r>
      <w:hyperlink r:id="rId13">
        <w:r>
          <w:rPr>
            <w:rStyle w:val="Hyperlink"/>
          </w:rPr>
          <w:t>reflowable text</w:t>
        </w:r>
      </w:hyperlink>
      <w:r>
        <w:t>, online reading, and small file size</w:t>
      </w:r>
    </w:p>
    <w:p w14:paraId="3A886950" w14:textId="77777777" w:rsidR="00FD0189" w:rsidRDefault="00000000">
      <w:pPr>
        <w:pStyle w:val="Compact"/>
        <w:numPr>
          <w:ilvl w:val="1"/>
          <w:numId w:val="14"/>
        </w:numPr>
      </w:pPr>
      <w:proofErr w:type="spellStart"/>
      <w:r>
        <w:rPr>
          <w:b/>
          <w:bCs/>
        </w:rPr>
        <w:t>TeX</w:t>
      </w:r>
      <w:proofErr w:type="spellEnd"/>
      <w:r>
        <w:rPr>
          <w:b/>
          <w:bCs/>
        </w:rPr>
        <w:t>:</w:t>
      </w:r>
      <w:r>
        <w:t xml:space="preserve"> click “ View source” in the righthand sidebar of the </w:t>
      </w:r>
      <w:hyperlink r:id="rId14">
        <w:r>
          <w:rPr>
            <w:rStyle w:val="Hyperlink"/>
          </w:rPr>
          <w:t>HTML version</w:t>
        </w:r>
      </w:hyperlink>
      <w:r>
        <w:t>; then from “Files” in the lefthand sidebar, select “Through-the-Looking-Glass–I.-Why-Cross-Fertilize-.tex.”</w:t>
      </w:r>
    </w:p>
    <w:p w14:paraId="1E3D062B" w14:textId="77777777" w:rsidR="00FD0189" w:rsidRDefault="00000000">
      <w:pPr>
        <w:pStyle w:val="Compact"/>
        <w:numPr>
          <w:ilvl w:val="2"/>
          <w:numId w:val="18"/>
        </w:numPr>
      </w:pPr>
      <w:r>
        <w:t>(La)</w:t>
      </w:r>
      <w:proofErr w:type="spellStart"/>
      <w:r>
        <w:t>TeX’s</w:t>
      </w:r>
      <w:proofErr w:type="spellEnd"/>
      <w:r>
        <w:t xml:space="preserve"> benefits include advanced document formatting and typesetting</w:t>
      </w:r>
    </w:p>
    <w:p w14:paraId="26226CE0" w14:textId="77777777" w:rsidR="00FD0189" w:rsidRDefault="00000000">
      <w:pPr>
        <w:pStyle w:val="Compact"/>
        <w:numPr>
          <w:ilvl w:val="1"/>
          <w:numId w:val="14"/>
        </w:numPr>
      </w:pPr>
      <w:r>
        <w:rPr>
          <w:b/>
          <w:bCs/>
        </w:rPr>
        <w:t>PDF:</w:t>
      </w:r>
      <w:r>
        <w:t xml:space="preserve"> click  in the lefthand sidebar of the </w:t>
      </w:r>
      <w:hyperlink r:id="rId15">
        <w:r>
          <w:rPr>
            <w:rStyle w:val="Hyperlink"/>
          </w:rPr>
          <w:t>HTML version</w:t>
        </w:r>
      </w:hyperlink>
      <w:r>
        <w:t xml:space="preserve"> or click </w:t>
      </w:r>
      <w:hyperlink r:id="rId16">
        <w:r>
          <w:rPr>
            <w:rStyle w:val="Hyperlink"/>
          </w:rPr>
          <w:t>here</w:t>
        </w:r>
      </w:hyperlink>
      <w:r>
        <w:t>.</w:t>
      </w:r>
    </w:p>
    <w:p w14:paraId="11B78B45" w14:textId="77777777" w:rsidR="00FD0189" w:rsidRDefault="00000000">
      <w:pPr>
        <w:pStyle w:val="Compact"/>
        <w:numPr>
          <w:ilvl w:val="2"/>
          <w:numId w:val="19"/>
        </w:numPr>
      </w:pPr>
      <w:r>
        <w:t>PDF’s benefits include printability of physical copies</w:t>
      </w:r>
    </w:p>
    <w:p w14:paraId="49668AE4" w14:textId="77777777" w:rsidR="00FD0189" w:rsidRDefault="00000000">
      <w:pPr>
        <w:pStyle w:val="Compact"/>
        <w:numPr>
          <w:ilvl w:val="1"/>
          <w:numId w:val="14"/>
        </w:numPr>
      </w:pPr>
      <w:r>
        <w:rPr>
          <w:b/>
          <w:bCs/>
        </w:rPr>
        <w:t>Quarto Markdown (QMD):</w:t>
      </w:r>
      <w:r>
        <w:t xml:space="preserve"> click “ View source” in the righthand sidebar of the </w:t>
      </w:r>
      <w:hyperlink r:id="rId17">
        <w:r>
          <w:rPr>
            <w:rStyle w:val="Hyperlink"/>
          </w:rPr>
          <w:t>HTML version</w:t>
        </w:r>
      </w:hyperlink>
      <w:r>
        <w:t>.</w:t>
      </w:r>
    </w:p>
    <w:p w14:paraId="7DEB28D6" w14:textId="77777777" w:rsidR="00FD0189" w:rsidRDefault="00000000">
      <w:pPr>
        <w:pStyle w:val="Compact"/>
        <w:numPr>
          <w:ilvl w:val="2"/>
          <w:numId w:val="20"/>
        </w:numPr>
      </w:pPr>
      <w:r>
        <w:t>QMD’s benefits include reusability (revising, remixing, reformatting, repurposing, etc.) via a universal format</w:t>
      </w:r>
    </w:p>
    <w:p w14:paraId="418A9C0B" w14:textId="77777777" w:rsidR="00FD0189" w:rsidRDefault="00000000">
      <w:pPr>
        <w:pStyle w:val="Compact"/>
        <w:numPr>
          <w:ilvl w:val="0"/>
          <w:numId w:val="13"/>
        </w:numPr>
      </w:pPr>
      <w:r>
        <w:rPr>
          <w:b/>
          <w:bCs/>
        </w:rPr>
        <w:t xml:space="preserve">How to Use </w:t>
      </w:r>
      <w:proofErr w:type="gramStart"/>
      <w:r>
        <w:rPr>
          <w:b/>
          <w:bCs/>
        </w:rPr>
        <w:t>Social Media</w:t>
      </w:r>
      <w:proofErr w:type="gramEnd"/>
      <w:r>
        <w:rPr>
          <w:b/>
          <w:bCs/>
        </w:rPr>
        <w:t xml:space="preserve"> to Share or Draw Attention to this Book</w:t>
      </w:r>
    </w:p>
    <w:p w14:paraId="7D912709" w14:textId="77777777" w:rsidR="00FD0189" w:rsidRDefault="00000000">
      <w:pPr>
        <w:pStyle w:val="Compact"/>
        <w:numPr>
          <w:ilvl w:val="1"/>
          <w:numId w:val="21"/>
        </w:numPr>
      </w:pPr>
      <w:r>
        <w:lastRenderedPageBreak/>
        <w:t xml:space="preserve">Click  in the lefthand sidebar of the </w:t>
      </w:r>
      <w:hyperlink r:id="rId18">
        <w:r>
          <w:rPr>
            <w:rStyle w:val="Hyperlink"/>
          </w:rPr>
          <w:t>HTML version</w:t>
        </w:r>
      </w:hyperlink>
      <w:r>
        <w:t xml:space="preserve"> and select Twitter (now X), Facebook, or LinkedIn.</w:t>
      </w:r>
    </w:p>
    <w:p w14:paraId="44938AB1" w14:textId="77777777" w:rsidR="00FD0189" w:rsidRDefault="00000000">
      <w:pPr>
        <w:pStyle w:val="Compact"/>
        <w:numPr>
          <w:ilvl w:val="0"/>
          <w:numId w:val="13"/>
        </w:numPr>
      </w:pPr>
      <w:r>
        <w:rPr>
          <w:b/>
          <w:bCs/>
        </w:rPr>
        <w:t>How to Report a Problem (Technological, Accessibility, or Textual) with this Book</w:t>
      </w:r>
    </w:p>
    <w:p w14:paraId="6B3C7D0B" w14:textId="77777777" w:rsidR="00FD0189" w:rsidRDefault="00000000">
      <w:pPr>
        <w:pStyle w:val="Compact"/>
        <w:numPr>
          <w:ilvl w:val="1"/>
          <w:numId w:val="22"/>
        </w:numPr>
      </w:pPr>
      <w:r>
        <w:t xml:space="preserve">Click “Report an Issue” in the righthand sidebar of the </w:t>
      </w:r>
      <w:hyperlink r:id="rId19">
        <w:r>
          <w:rPr>
            <w:rStyle w:val="Hyperlink"/>
          </w:rPr>
          <w:t>HTML version</w:t>
        </w:r>
      </w:hyperlink>
      <w:r>
        <w:t>; then complete and submit the bug report.</w:t>
      </w:r>
    </w:p>
    <w:p w14:paraId="0A95F98C" w14:textId="77777777" w:rsidR="00FD0189" w:rsidRDefault="00000000">
      <w:pPr>
        <w:pStyle w:val="FirstParagraph"/>
      </w:pPr>
      <w:r>
        <w:t xml:space="preserve">To learn more about how to use this book, see </w:t>
      </w:r>
      <w:hyperlink r:id="rId20">
        <w:r>
          <w:rPr>
            <w:rStyle w:val="Hyperlink"/>
          </w:rPr>
          <w:t>Quarto’s Guide</w:t>
        </w:r>
      </w:hyperlink>
      <w:r>
        <w:t>, or simply try its features!</w:t>
      </w:r>
    </w:p>
    <w:p w14:paraId="36932EBA" w14:textId="77777777" w:rsidR="00FD0189" w:rsidRDefault="00000000">
      <w:pPr>
        <w:pStyle w:val="Heading2"/>
      </w:pPr>
      <w:bookmarkStart w:id="6" w:name="copyright-and-license"/>
      <w:bookmarkStart w:id="7" w:name="_Toc159248478"/>
      <w:bookmarkEnd w:id="4"/>
      <w:r>
        <w:t>Copyright and License</w:t>
      </w:r>
      <w:bookmarkEnd w:id="7"/>
    </w:p>
    <w:p w14:paraId="47745842" w14:textId="77777777" w:rsidR="00FD0189" w:rsidRDefault="00000000">
      <w:pPr>
        <w:pStyle w:val="FirstParagraph"/>
      </w:pPr>
      <w:r>
        <w:t>© 2024 Curtis M. Lively</w:t>
      </w:r>
      <w:r>
        <w:br/>
        <w:t xml:space="preserve">Illustrations © 2024 Zoe Michelle </w:t>
      </w:r>
      <w:proofErr w:type="spellStart"/>
      <w:r>
        <w:t>Dinges</w:t>
      </w:r>
      <w:proofErr w:type="spellEnd"/>
      <w:r>
        <w:br/>
      </w:r>
    </w:p>
    <w:p w14:paraId="556AA8C7" w14:textId="77777777" w:rsidR="00FD0189" w:rsidRDefault="00000000">
      <w:pPr>
        <w:pStyle w:val="BodyText"/>
      </w:pPr>
      <w:r>
        <w:t xml:space="preserve">Unless otherwise indicated, Through the Looking Glass: I. Why Cross-Fertilize? by Curtis M. Lively and Zoe Michelle </w:t>
      </w:r>
      <w:proofErr w:type="spellStart"/>
      <w:r>
        <w:t>Dinges</w:t>
      </w:r>
      <w:proofErr w:type="spellEnd"/>
      <w:r>
        <w:t xml:space="preserve"> is licensed under Attribution-</w:t>
      </w:r>
      <w:proofErr w:type="spellStart"/>
      <w:r>
        <w:t>NoDerivatives</w:t>
      </w:r>
      <w:proofErr w:type="spellEnd"/>
      <w:r>
        <w:t xml:space="preserve"> 4.0 International </w:t>
      </w:r>
    </w:p>
    <w:p w14:paraId="77D9BB19" w14:textId="77777777" w:rsidR="00FD0189" w:rsidRDefault="00000000">
      <w:pPr>
        <w:pStyle w:val="BodyText"/>
      </w:pPr>
      <w:r>
        <w:rPr>
          <w:b/>
          <w:bCs/>
        </w:rPr>
        <w:t>You are free to:</w:t>
      </w:r>
    </w:p>
    <w:p w14:paraId="76EBA1FE" w14:textId="77777777" w:rsidR="00FD0189" w:rsidRDefault="00000000">
      <w:pPr>
        <w:pStyle w:val="Compact"/>
        <w:numPr>
          <w:ilvl w:val="0"/>
          <w:numId w:val="23"/>
        </w:numPr>
      </w:pPr>
      <w:r>
        <w:rPr>
          <w:b/>
          <w:bCs/>
        </w:rPr>
        <w:t>Share</w:t>
      </w:r>
      <w:r>
        <w:t>—copy and redistribute the material in any medium or format for any purpose, even commercially.</w:t>
      </w:r>
    </w:p>
    <w:p w14:paraId="48B28D7A" w14:textId="77777777" w:rsidR="00FD0189" w:rsidRDefault="00000000">
      <w:pPr>
        <w:pStyle w:val="Compact"/>
        <w:numPr>
          <w:ilvl w:val="1"/>
          <w:numId w:val="24"/>
        </w:numPr>
      </w:pPr>
      <w:r>
        <w:t xml:space="preserve">The licensor cannot revoke these freedoms </w:t>
      </w:r>
      <w:proofErr w:type="gramStart"/>
      <w:r>
        <w:t>as long as</w:t>
      </w:r>
      <w:proofErr w:type="gramEnd"/>
      <w:r>
        <w:t xml:space="preserve"> you follow the license terms.</w:t>
      </w:r>
    </w:p>
    <w:p w14:paraId="04EA5312" w14:textId="77777777" w:rsidR="00FD0189" w:rsidRDefault="00000000">
      <w:pPr>
        <w:pStyle w:val="FirstParagraph"/>
      </w:pPr>
      <w:r>
        <w:rPr>
          <w:b/>
          <w:bCs/>
        </w:rPr>
        <w:t>Under the following terms:</w:t>
      </w:r>
    </w:p>
    <w:p w14:paraId="2C819389" w14:textId="77777777" w:rsidR="00FD0189" w:rsidRDefault="00000000">
      <w:pPr>
        <w:pStyle w:val="Compact"/>
        <w:numPr>
          <w:ilvl w:val="0"/>
          <w:numId w:val="25"/>
        </w:numPr>
      </w:pPr>
      <w:r>
        <w:rPr>
          <w:b/>
          <w:bCs/>
        </w:rPr>
        <w:t>Attribution</w:t>
      </w:r>
      <w:r>
        <w:t xml:space="preserve">—You must give </w:t>
      </w:r>
      <w:hyperlink r:id="rId21" w:anchor="ref-appropriate-credit">
        <w:r>
          <w:rPr>
            <w:rStyle w:val="Hyperlink"/>
          </w:rPr>
          <w:t>appropriate credit</w:t>
        </w:r>
      </w:hyperlink>
      <w:r>
        <w:t xml:space="preserve">, provide a link to the license, and </w:t>
      </w:r>
      <w:hyperlink r:id="rId22" w:anchor="ref-indicate-changes">
        <w:r>
          <w:rPr>
            <w:rStyle w:val="Hyperlink"/>
          </w:rPr>
          <w:t>indicate if changes were made</w:t>
        </w:r>
      </w:hyperlink>
      <w:r>
        <w:t>. You may do so in any reasonable manner but not in any way that suggests the licensor endorses you or your use.</w:t>
      </w:r>
      <w:r>
        <w:br/>
      </w:r>
    </w:p>
    <w:p w14:paraId="0205B8E1" w14:textId="77777777" w:rsidR="00FD0189" w:rsidRDefault="00000000">
      <w:pPr>
        <w:pStyle w:val="Compact"/>
        <w:numPr>
          <w:ilvl w:val="0"/>
          <w:numId w:val="25"/>
        </w:numPr>
      </w:pPr>
      <w:r>
        <w:rPr>
          <w:b/>
          <w:bCs/>
        </w:rPr>
        <w:t>No Derivatives</w:t>
      </w:r>
      <w:r>
        <w:t xml:space="preserve">—If you </w:t>
      </w:r>
      <w:hyperlink r:id="rId23" w:anchor="ref-some-kinds-of-mods">
        <w:r>
          <w:rPr>
            <w:rStyle w:val="Hyperlink"/>
          </w:rPr>
          <w:t>remix, transform, or build upon</w:t>
        </w:r>
      </w:hyperlink>
      <w:r>
        <w:t xml:space="preserve"> the material, you may not distribute the modified material.</w:t>
      </w:r>
      <w:r>
        <w:br/>
      </w:r>
    </w:p>
    <w:p w14:paraId="30923581" w14:textId="77777777" w:rsidR="00FD0189" w:rsidRDefault="00000000">
      <w:pPr>
        <w:pStyle w:val="Compact"/>
        <w:numPr>
          <w:ilvl w:val="0"/>
          <w:numId w:val="25"/>
        </w:numPr>
      </w:pPr>
      <w:r>
        <w:rPr>
          <w:b/>
          <w:bCs/>
        </w:rPr>
        <w:t>No additional restrictions</w:t>
      </w:r>
      <w:r>
        <w:t xml:space="preserve">—You may not apply legal terms or </w:t>
      </w:r>
      <w:hyperlink r:id="rId24" w:anchor="ref-technological-measures">
        <w:r>
          <w:rPr>
            <w:rStyle w:val="Hyperlink"/>
          </w:rPr>
          <w:t>technological measures</w:t>
        </w:r>
      </w:hyperlink>
      <w:r>
        <w:t xml:space="preserve"> that legally restrict others from doing anything the license permits.</w:t>
      </w:r>
    </w:p>
    <w:p w14:paraId="741B5E52" w14:textId="77777777" w:rsidR="00FD0189" w:rsidRDefault="00000000">
      <w:pPr>
        <w:pStyle w:val="FirstParagraph"/>
      </w:pPr>
      <w:r>
        <w:rPr>
          <w:b/>
          <w:bCs/>
        </w:rPr>
        <w:t>Notices:</w:t>
      </w:r>
    </w:p>
    <w:p w14:paraId="58FE5311" w14:textId="77777777" w:rsidR="00FD0189" w:rsidRDefault="00000000">
      <w:pPr>
        <w:pStyle w:val="Compact"/>
        <w:numPr>
          <w:ilvl w:val="0"/>
          <w:numId w:val="26"/>
        </w:numPr>
      </w:pPr>
      <w:r>
        <w:t xml:space="preserve">You do not have to comply with the license for elements of the material in the public domain or where your use is permitted by an applicable </w:t>
      </w:r>
      <w:hyperlink r:id="rId25" w:anchor="ref-exception-or-limitation">
        <w:r>
          <w:rPr>
            <w:rStyle w:val="Hyperlink"/>
          </w:rPr>
          <w:t>exception or limitation</w:t>
        </w:r>
      </w:hyperlink>
      <w:r>
        <w:t>.</w:t>
      </w:r>
    </w:p>
    <w:p w14:paraId="2FC5A6F1" w14:textId="77777777" w:rsidR="00FD0189" w:rsidRDefault="00000000">
      <w:pPr>
        <w:pStyle w:val="Compact"/>
        <w:numPr>
          <w:ilvl w:val="0"/>
          <w:numId w:val="26"/>
        </w:numPr>
      </w:pPr>
      <w:r>
        <w:t xml:space="preserve">No warranties are given. The license may not give you </w:t>
      </w:r>
      <w:proofErr w:type="gramStart"/>
      <w:r>
        <w:t>all of</w:t>
      </w:r>
      <w:proofErr w:type="gramEnd"/>
      <w:r>
        <w:t xml:space="preserve"> the permissions necessary for your intended use. For example, other rights such as </w:t>
      </w:r>
      <w:hyperlink r:id="rId26" w:anchor="ref-publicity-privacy-or-moral-rights">
        <w:r>
          <w:rPr>
            <w:rStyle w:val="Hyperlink"/>
          </w:rPr>
          <w:t>publicity, privacy, or moral rights</w:t>
        </w:r>
      </w:hyperlink>
      <w:r>
        <w:t xml:space="preserve"> may limit how you use the material.</w:t>
      </w:r>
    </w:p>
    <w:p w14:paraId="4CA23761" w14:textId="77777777" w:rsidR="00FD0189" w:rsidRDefault="00000000">
      <w:pPr>
        <w:pStyle w:val="Heading2"/>
      </w:pPr>
      <w:bookmarkStart w:id="8" w:name="publisher"/>
      <w:bookmarkStart w:id="9" w:name="_Toc159248479"/>
      <w:bookmarkEnd w:id="6"/>
      <w:r>
        <w:t>Publisher</w:t>
      </w:r>
      <w:bookmarkEnd w:id="9"/>
    </w:p>
    <w:p w14:paraId="06335730" w14:textId="77777777" w:rsidR="00FD0189" w:rsidRDefault="00000000">
      <w:pPr>
        <w:pStyle w:val="FirstParagraph"/>
      </w:pPr>
      <w:r>
        <w:rPr>
          <w:noProof/>
        </w:rPr>
        <w:drawing>
          <wp:inline distT="0" distB="0" distL="0" distR="0" wp14:anchorId="79B17F56" wp14:editId="46ED0AD3">
            <wp:extent cx="1798800" cy="255600"/>
            <wp:effectExtent l="0" t="0" r="0" b="0"/>
            <wp:docPr id="37" name="Picture" descr="Logo of Indiana University Libraries Publishing."/>
            <wp:cNvGraphicFramePr/>
            <a:graphic xmlns:a="http://schemas.openxmlformats.org/drawingml/2006/main">
              <a:graphicData uri="http://schemas.openxmlformats.org/drawingml/2006/picture">
                <pic:pic xmlns:pic="http://schemas.openxmlformats.org/drawingml/2006/picture">
                  <pic:nvPicPr>
                    <pic:cNvPr id="37" name="Picture" descr="Logo of Indiana University Libraries Publishing."/>
                    <pic:cNvPicPr>
                      <a:picLocks noChangeAspect="1" noChangeArrowheads="1"/>
                    </pic:cNvPicPr>
                  </pic:nvPicPr>
                  <pic:blipFill>
                    <a:blip r:embed="rId27"/>
                    <a:stretch>
                      <a:fillRect/>
                    </a:stretch>
                  </pic:blipFill>
                  <pic:spPr bwMode="auto">
                    <a:xfrm>
                      <a:off x="0" y="0"/>
                      <a:ext cx="1798800" cy="255600"/>
                    </a:xfrm>
                    <a:prstGeom prst="rect">
                      <a:avLst/>
                    </a:prstGeom>
                    <a:noFill/>
                    <a:ln w="9525">
                      <a:noFill/>
                      <a:headEnd/>
                      <a:tailEnd/>
                    </a:ln>
                  </pic:spPr>
                </pic:pic>
              </a:graphicData>
            </a:graphic>
          </wp:inline>
        </w:drawing>
      </w:r>
      <w:r>
        <w:br/>
      </w:r>
    </w:p>
    <w:p w14:paraId="7AA482D5" w14:textId="77777777" w:rsidR="00FD0189" w:rsidRDefault="00000000">
      <w:pPr>
        <w:pStyle w:val="BodyText"/>
      </w:pPr>
      <w:hyperlink r:id="rId28">
        <w:r>
          <w:rPr>
            <w:rStyle w:val="Hyperlink"/>
          </w:rPr>
          <w:t>Indiana University Bloomington Libraries Publishing</w:t>
        </w:r>
      </w:hyperlink>
      <w:r>
        <w:br/>
        <w:t>1320 E. Tenth Street</w:t>
      </w:r>
      <w:r>
        <w:br/>
        <w:t>Bloomington, IN 47405</w:t>
      </w:r>
    </w:p>
    <w:p w14:paraId="143C20A4" w14:textId="77777777" w:rsidR="00FD0189" w:rsidRDefault="00000000">
      <w:pPr>
        <w:pStyle w:val="Heading2"/>
      </w:pPr>
      <w:bookmarkStart w:id="10" w:name="how-to-cite"/>
      <w:bookmarkStart w:id="11" w:name="_Toc159248480"/>
      <w:bookmarkEnd w:id="8"/>
      <w:r>
        <w:t>How to Cite</w:t>
      </w:r>
      <w:bookmarkEnd w:id="11"/>
    </w:p>
    <w:p w14:paraId="61BCDF69" w14:textId="77777777" w:rsidR="00FD0189" w:rsidRDefault="00000000">
      <w:pPr>
        <w:pStyle w:val="FirstParagraph"/>
      </w:pPr>
      <w:r>
        <w:t xml:space="preserve">Lively, C.M. (2024). </w:t>
      </w:r>
      <w:hyperlink r:id="rId29">
        <w:r>
          <w:rPr>
            <w:rStyle w:val="Hyperlink"/>
            <w:i/>
            <w:iCs/>
          </w:rPr>
          <w:t>Through the Looking Glass: I. Why Cross-Fertilize?</w:t>
        </w:r>
      </w:hyperlink>
      <w:r>
        <w:t xml:space="preserve"> Indiana University Bloomington Libraries Publishing.</w:t>
      </w:r>
    </w:p>
    <w:p w14:paraId="25D3A2F3" w14:textId="77777777" w:rsidR="00FD0189" w:rsidRDefault="00000000">
      <w:pPr>
        <w:pStyle w:val="Heading1"/>
      </w:pPr>
      <w:bookmarkStart w:id="12" w:name="sec-why-sex"/>
      <w:bookmarkStart w:id="13" w:name="_Toc159248481"/>
      <w:bookmarkEnd w:id="0"/>
      <w:bookmarkEnd w:id="10"/>
      <w:r>
        <w:lastRenderedPageBreak/>
        <w:t>1. Why Sex?</w:t>
      </w:r>
      <w:bookmarkEnd w:id="13"/>
    </w:p>
    <w:p w14:paraId="431F1C05" w14:textId="77777777" w:rsidR="00FD0189" w:rsidRDefault="00000000">
      <w:pPr>
        <w:pStyle w:val="FirstParagraph"/>
      </w:pPr>
      <w:r>
        <w:rPr>
          <w:noProof/>
        </w:rPr>
        <w:drawing>
          <wp:inline distT="0" distB="0" distL="0" distR="0" wp14:anchorId="250C0181" wp14:editId="0EC5146D">
            <wp:extent cx="1831848" cy="2026920"/>
            <wp:effectExtent l="0" t="0" r="0" b="0"/>
            <wp:docPr id="45" name="Pictur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45" name="Picture">
                      <a:extLst>
                        <a:ext uri="{C183D7F6-B498-43B3-948B-1728B52AA6E4}">
                          <adec:decorative xmlns:adec="http://schemas.microsoft.com/office/drawing/2017/decorative" val="1"/>
                        </a:ext>
                      </a:extLst>
                    </pic:cNvPr>
                    <pic:cNvPicPr>
                      <a:picLocks noChangeAspect="1" noChangeArrowheads="1"/>
                    </pic:cNvPicPr>
                  </pic:nvPicPr>
                  <pic:blipFill>
                    <a:blip r:embed="rId30"/>
                    <a:stretch>
                      <a:fillRect/>
                    </a:stretch>
                  </pic:blipFill>
                  <pic:spPr bwMode="auto">
                    <a:xfrm>
                      <a:off x="0" y="0"/>
                      <a:ext cx="1831848" cy="2026920"/>
                    </a:xfrm>
                    <a:prstGeom prst="rect">
                      <a:avLst/>
                    </a:prstGeom>
                    <a:noFill/>
                    <a:ln w="9525">
                      <a:noFill/>
                      <a:headEnd/>
                      <a:tailEnd/>
                    </a:ln>
                  </pic:spPr>
                </pic:pic>
              </a:graphicData>
            </a:graphic>
          </wp:inline>
        </w:drawing>
      </w:r>
    </w:p>
    <w:p w14:paraId="1B82BA32" w14:textId="77777777" w:rsidR="00FD0189" w:rsidRDefault="00000000">
      <w:pPr>
        <w:pStyle w:val="Heading2"/>
      </w:pPr>
      <w:bookmarkStart w:id="14" w:name="the-question"/>
      <w:bookmarkStart w:id="15" w:name="_Toc159248482"/>
      <w:r>
        <w:t>1.1 The Question</w:t>
      </w:r>
      <w:bookmarkEnd w:id="15"/>
    </w:p>
    <w:p w14:paraId="012DC37E" w14:textId="77777777" w:rsidR="00FD0189" w:rsidRDefault="00000000">
      <w:pPr>
        <w:pStyle w:val="FirstParagraph"/>
      </w:pPr>
      <w:r>
        <w:t xml:space="preserve">Most PhD programs require that students pass a preliminary examination. This was certainly true in my case. I was a PhD student at the University of Arizona studying rocky intertidal communities in the Northern Gulf of California. But the exams were not focused on our research. They were “depth-of-knowledge” exams. My question from Professor Astrid </w:t>
      </w:r>
      <w:proofErr w:type="spellStart"/>
      <w:r>
        <w:t>Kodric</w:t>
      </w:r>
      <w:proofErr w:type="spellEnd"/>
      <w:r>
        <w:t>-Brown instructed me to read the preface of G.C. Williams’ (</w:t>
      </w:r>
      <w:hyperlink w:anchor="ref-williams1975a">
        <w:r>
          <w:rPr>
            <w:rStyle w:val="Hyperlink"/>
          </w:rPr>
          <w:t>1975</w:t>
        </w:r>
      </w:hyperlink>
      <w:r>
        <w:t xml:space="preserve">) book, </w:t>
      </w:r>
      <w:r>
        <w:rPr>
          <w:i/>
          <w:iCs/>
        </w:rPr>
        <w:t>Sex and Evolution</w:t>
      </w:r>
      <w:r>
        <w:t>, which contains the following text: “This book is written from a conviction that the prevalence of sexual reproduction in higher plants and animals is inconsistent with current evolutionary theory.… Many well-informed readers may disagree with much of my reasoning, but I hope to at least convince them that there is a crisis at hand in evolutionary biology.…”</w:t>
      </w:r>
    </w:p>
    <w:p w14:paraId="53B17C82" w14:textId="77777777" w:rsidR="00FD0189" w:rsidRDefault="00000000">
      <w:pPr>
        <w:pStyle w:val="BodyText"/>
      </w:pPr>
      <w:r>
        <w:t>The question was something like this: “Why does Williams think that sexual reproduction poses a crisis for evolutionary biology, and what is the solution?” A crisis? That was news to me. How could there be a crisis in evolutionary biology 40+ years after the modern synthesis? My graduate course in theoretical population genetics did not mention any crises. I was not convinced. And a little freaked out.</w:t>
      </w:r>
    </w:p>
    <w:p w14:paraId="5B0268DC" w14:textId="77777777" w:rsidR="00FD0189" w:rsidRDefault="00000000">
      <w:pPr>
        <w:pStyle w:val="BodyText"/>
      </w:pPr>
      <w:r>
        <w:t xml:space="preserve">The structure of our exams was very loose. I don’t remember having a deadline to produce a written answer, but I do remember that I spent several months on just this one question. During much of this time, I was doing field work in Sonora, Mexico, sometimes under very harsh field conditions. But the more I studied the question, the more fascinated I became. I came to think that there was, indeed, a very real anomaly presented by sexual reproduction. Williams was right. Perhaps I was especially interested in this anomaly because I had read Thomas Kuhn’s book, </w:t>
      </w:r>
      <w:r>
        <w:rPr>
          <w:i/>
          <w:iCs/>
        </w:rPr>
        <w:t>The Structure of Scientific Revolutions</w:t>
      </w:r>
      <w:r>
        <w:t>, as an undergraduate at Glendale Community College. Kuhn (</w:t>
      </w:r>
      <w:hyperlink w:anchor="ref-kuhn1970a">
        <w:r>
          <w:rPr>
            <w:rStyle w:val="Hyperlink"/>
          </w:rPr>
          <w:t>1970</w:t>
        </w:r>
      </w:hyperlink>
      <w:r>
        <w:t>) made the case that dissecting anomalies can lead to interesting advances, and that made sense to me. While I eventually produced an essay to address the question, the answer felt incomplete. I wanted to know more. There were many hypotheses, but there was no clear general explanation for sex. Many years later, I am still working on my prelim question. This book is my revised answer.</w:t>
      </w:r>
    </w:p>
    <w:p w14:paraId="067D98DE" w14:textId="77777777" w:rsidR="00FD0189" w:rsidRDefault="00000000">
      <w:pPr>
        <w:pStyle w:val="Heading2"/>
      </w:pPr>
      <w:bookmarkStart w:id="16" w:name="the-problem"/>
      <w:bookmarkStart w:id="17" w:name="_Toc159248483"/>
      <w:bookmarkEnd w:id="14"/>
      <w:r>
        <w:lastRenderedPageBreak/>
        <w:t>1.2 The Problem</w:t>
      </w:r>
      <w:bookmarkEnd w:id="17"/>
    </w:p>
    <w:p w14:paraId="1B5E2111" w14:textId="77777777" w:rsidR="00FD0189" w:rsidRDefault="00000000">
      <w:pPr>
        <w:pStyle w:val="FirstParagraph"/>
      </w:pPr>
      <w:r>
        <w:t xml:space="preserve">There are many problems associated with sexual reproduction, including the time spent finding mates and the risk of contracting sexually transmitted disease (review in </w:t>
      </w:r>
      <w:hyperlink w:anchor="ref-lehtonen2012a">
        <w:r>
          <w:rPr>
            <w:rStyle w:val="Hyperlink"/>
          </w:rPr>
          <w:t xml:space="preserve">Lehtonen </w:t>
        </w:r>
        <w:r>
          <w:rPr>
            <w:rStyle w:val="Hyperlink"/>
            <w:i/>
            <w:iCs/>
          </w:rPr>
          <w:t>et al.</w:t>
        </w:r>
        <w:r>
          <w:rPr>
            <w:rStyle w:val="Hyperlink"/>
          </w:rPr>
          <w:t xml:space="preserve"> 2012</w:t>
        </w:r>
      </w:hyperlink>
      <w:r>
        <w:t>). However, while important, these costs do not form the core of the paradox. Historically, the paradox of sex stems from two things: (1) the cost of meiosis, and (2) the cost of producing males.</w:t>
      </w:r>
    </w:p>
    <w:p w14:paraId="0527474C" w14:textId="77777777" w:rsidR="00FD0189" w:rsidRDefault="00000000">
      <w:pPr>
        <w:pStyle w:val="Heading3"/>
      </w:pPr>
      <w:bookmarkStart w:id="18" w:name="the-cost-of-meiosis-reduced-relatedness"/>
      <w:bookmarkStart w:id="19" w:name="_Toc159248484"/>
      <w:r>
        <w:t>1.2.1 The cost of meiosis: reduced relatedness</w:t>
      </w:r>
      <w:bookmarkEnd w:id="19"/>
    </w:p>
    <w:p w14:paraId="4EE6D1FA" w14:textId="77777777" w:rsidR="00FD0189" w:rsidRDefault="00000000">
      <w:pPr>
        <w:pStyle w:val="FirstParagraph"/>
      </w:pPr>
      <w:r>
        <w:t>The “cost of meiosis” was proposed by George Williams (</w:t>
      </w:r>
      <w:hyperlink w:anchor="ref-williams1975a">
        <w:r>
          <w:rPr>
            <w:rStyle w:val="Hyperlink"/>
          </w:rPr>
          <w:t>1975</w:t>
        </w:r>
      </w:hyperlink>
      <w:r>
        <w:t>). His idea was simply that females are only half as related to their outcrossed offspring as they are to their self-fertilized or parthenogenetic offspring.</w:t>
      </w:r>
      <w:r>
        <w:rPr>
          <w:rStyle w:val="FootnoteReference"/>
        </w:rPr>
        <w:footnoteReference w:id="1"/>
      </w:r>
      <w:r>
        <w:t xml:space="preserve"> (See </w:t>
      </w:r>
      <w:hyperlink w:anchor="sec-glossary">
        <w:r>
          <w:rPr>
            <w:rStyle w:val="Hyperlink"/>
          </w:rPr>
          <w:t>Glossary</w:t>
        </w:r>
      </w:hyperlink>
      <w:r>
        <w:t xml:space="preserve"> for condensed definitions.) Williams’ idea also had theoretical support, as R.A. Fisher (</w:t>
      </w:r>
      <w:hyperlink w:anchor="ref-fisher1941a">
        <w:r>
          <w:rPr>
            <w:rStyle w:val="Hyperlink"/>
          </w:rPr>
          <w:t>1941</w:t>
        </w:r>
      </w:hyperlink>
      <w:r>
        <w:t>) had already shown that an allele causing self-fertilization would rapidly spread to fixation, barring severe inbreeding depression. So, why cross-fertilize? The persistence of cross-fertilization despite the cost of meiosis formed a paradox. This paradox created the crisis that Williams saw in evolutionary biology.</w:t>
      </w:r>
    </w:p>
    <w:p w14:paraId="08123379" w14:textId="77777777" w:rsidR="00FD0189" w:rsidRDefault="00000000">
      <w:pPr>
        <w:pStyle w:val="Heading3"/>
      </w:pPr>
      <w:bookmarkStart w:id="20" w:name="the-cost-of-males"/>
      <w:bookmarkStart w:id="21" w:name="_Toc159248485"/>
      <w:bookmarkEnd w:id="18"/>
      <w:r>
        <w:t>1.2.2 The cost of males</w:t>
      </w:r>
      <w:bookmarkEnd w:id="21"/>
    </w:p>
    <w:p w14:paraId="3D4D5FA8" w14:textId="77777777" w:rsidR="00FD0189" w:rsidRDefault="00000000">
      <w:pPr>
        <w:pStyle w:val="FirstParagraph"/>
      </w:pPr>
      <w:r>
        <w:t>The other way to look at the problem was proposed by John Maynard Smith (</w:t>
      </w:r>
      <w:hyperlink w:anchor="ref-maynard1971a">
        <w:r>
          <w:rPr>
            <w:rStyle w:val="Hyperlink"/>
          </w:rPr>
          <w:t>1971</w:t>
        </w:r>
      </w:hyperlink>
      <w:r>
        <w:t xml:space="preserve">, </w:t>
      </w:r>
      <w:hyperlink w:anchor="ref-maynard1978a">
        <w:r>
          <w:rPr>
            <w:rStyle w:val="Hyperlink"/>
          </w:rPr>
          <w:t>1978</w:t>
        </w:r>
      </w:hyperlink>
      <w:r>
        <w:t xml:space="preserve">). Here the issue is not relatedness. The problem stems rather from the difference between </w:t>
      </w:r>
      <w:proofErr w:type="spellStart"/>
      <w:r>
        <w:t>sexuals</w:t>
      </w:r>
      <w:proofErr w:type="spellEnd"/>
      <w:r>
        <w:t xml:space="preserve"> and </w:t>
      </w:r>
      <w:proofErr w:type="spellStart"/>
      <w:r>
        <w:t>asexuals</w:t>
      </w:r>
      <w:proofErr w:type="spellEnd"/>
      <w:r>
        <w:t xml:space="preserve"> in their per-capita birth rates (</w:t>
      </w:r>
      <w:hyperlink w:anchor="fig-1.1">
        <w:r>
          <w:rPr>
            <w:rStyle w:val="Hyperlink"/>
          </w:rPr>
          <w:t>Figure 1.1</w:t>
        </w:r>
      </w:hyperlink>
      <w:r>
        <w:t>). Imagine a population of sexual individuals at carrying capacity (</w:t>
      </w:r>
      <m:oMath>
        <m:sSub>
          <m:sSubPr>
            <m:ctrlPr>
              <w:rPr>
                <w:rFonts w:ascii="Latin Modern Math" w:hAnsi="Latin Modern Math"/>
              </w:rPr>
            </m:ctrlPr>
          </m:sSubPr>
          <m:e>
            <m:r>
              <w:rPr>
                <w:rFonts w:ascii="Latin Modern Math" w:hAnsi="Latin Modern Math"/>
              </w:rPr>
              <m:t>K</m:t>
            </m:r>
          </m:e>
          <m:sub>
            <m:r>
              <w:rPr>
                <w:rFonts w:ascii="Latin Modern Math" w:hAnsi="Latin Modern Math"/>
              </w:rPr>
              <m:t>sex</m:t>
            </m:r>
          </m:sub>
        </m:sSub>
      </m:oMath>
      <w:r>
        <w:t xml:space="preserve">). At </w:t>
      </w:r>
      <m:oMath>
        <m:sSub>
          <m:sSubPr>
            <m:ctrlPr>
              <w:rPr>
                <w:rFonts w:ascii="Latin Modern Math" w:hAnsi="Latin Modern Math"/>
              </w:rPr>
            </m:ctrlPr>
          </m:sSubPr>
          <m:e>
            <m:r>
              <w:rPr>
                <w:rFonts w:ascii="Latin Modern Math" w:hAnsi="Latin Modern Math"/>
              </w:rPr>
              <m:t>K</m:t>
            </m:r>
          </m:e>
          <m:sub>
            <m:r>
              <w:rPr>
                <w:rFonts w:ascii="Latin Modern Math" w:hAnsi="Latin Modern Math"/>
              </w:rPr>
              <m:t>sex</m:t>
            </m:r>
          </m:sub>
        </m:sSub>
      </m:oMath>
      <w:r>
        <w:t xml:space="preserve"> the sexual females are, by definition, simply replacing themselves. This means that each sexual female is, on average, producing one son and one daughter. Both sons and daughters contribute genetically to the next generation, but only females give birth. Now, consider a mutation in a single female that causes her to reproduce asexually. She gives birth to two daughters instead of one daughter and one son. These two asexually produced daughters both give birth to two more daughters. Hence, after just two generations, the asexual female has four granddaughters, while the average sexual female has just one granddaughter (</w:t>
      </w:r>
      <w:hyperlink w:anchor="fig-1.1">
        <w:r>
          <w:rPr>
            <w:rStyle w:val="Hyperlink"/>
          </w:rPr>
          <w:t>Figure 1.1</w:t>
        </w:r>
      </w:hyperlink>
      <w:r>
        <w:t>). This asymmetry should lead to the rapid replacement of sexual females by asexual females (</w:t>
      </w:r>
      <w:hyperlink w:anchor="fig-1.2">
        <w:r>
          <w:rPr>
            <w:rStyle w:val="Hyperlink"/>
          </w:rPr>
          <w:t>Figure 1.2</w:t>
        </w:r>
      </w:hyperlink>
      <w:r>
        <w:t>). And by “rapid,” I mean within tens of generations, even for very large populations (</w:t>
      </w:r>
      <w:hyperlink w:anchor="ref-lively1996a">
        <w:r>
          <w:rPr>
            <w:rStyle w:val="Hyperlink"/>
          </w:rPr>
          <w:t>Lively 1996</w:t>
        </w:r>
      </w:hyperlink>
      <w:r>
        <w:t>). We thus seek a selective force that can give an advantage to sexual reproduction on a very short time scale.</w:t>
      </w:r>
    </w:p>
    <w:tbl>
      <w:tblPr>
        <w:tblStyle w:val="Table"/>
        <w:tblW w:w="5000" w:type="pct"/>
        <w:tblLayout w:type="fixed"/>
        <w:tblLook w:val="0000" w:firstRow="0" w:lastRow="0" w:firstColumn="0" w:lastColumn="0" w:noHBand="0" w:noVBand="0"/>
      </w:tblPr>
      <w:tblGrid>
        <w:gridCol w:w="9360"/>
      </w:tblGrid>
      <w:tr w:rsidR="00FD0189" w14:paraId="6A353A7C" w14:textId="77777777">
        <w:tc>
          <w:tcPr>
            <w:tcW w:w="7920" w:type="dxa"/>
          </w:tcPr>
          <w:p w14:paraId="5C5B7A6F" w14:textId="77777777" w:rsidR="00FD0189" w:rsidRDefault="00000000">
            <w:pPr>
              <w:pStyle w:val="Compact"/>
              <w:jc w:val="center"/>
            </w:pPr>
            <w:bookmarkStart w:id="22" w:name="fig-1.1"/>
            <w:r>
              <w:rPr>
                <w:noProof/>
              </w:rPr>
              <w:lastRenderedPageBreak/>
              <w:drawing>
                <wp:inline distT="0" distB="0" distL="0" distR="0" wp14:anchorId="6DED7489" wp14:editId="48DFDEA9">
                  <wp:extent cx="2971800" cy="3641124"/>
                  <wp:effectExtent l="0" t="0" r="0" b="0"/>
                  <wp:docPr id="51" name="Picture" descr="Diagram illustrating a sexual female producing one daughter and one son and an asexual female producing two daughters."/>
                  <wp:cNvGraphicFramePr/>
                  <a:graphic xmlns:a="http://schemas.openxmlformats.org/drawingml/2006/main">
                    <a:graphicData uri="http://schemas.openxmlformats.org/drawingml/2006/picture">
                      <pic:pic xmlns:pic="http://schemas.openxmlformats.org/drawingml/2006/picture">
                        <pic:nvPicPr>
                          <pic:cNvPr id="51" name="Picture" descr="Diagram illustrating a sexual female producing one daughter and one son and an asexual female producing two daughters."/>
                          <pic:cNvPicPr>
                            <a:picLocks noChangeAspect="1" noChangeArrowheads="1"/>
                          </pic:cNvPicPr>
                        </pic:nvPicPr>
                        <pic:blipFill>
                          <a:blip r:embed="rId31"/>
                          <a:stretch>
                            <a:fillRect/>
                          </a:stretch>
                        </pic:blipFill>
                        <pic:spPr bwMode="auto">
                          <a:xfrm>
                            <a:off x="0" y="0"/>
                            <a:ext cx="2971800" cy="3641124"/>
                          </a:xfrm>
                          <a:prstGeom prst="rect">
                            <a:avLst/>
                          </a:prstGeom>
                          <a:noFill/>
                          <a:ln w="9525">
                            <a:noFill/>
                            <a:headEnd/>
                            <a:tailEnd/>
                          </a:ln>
                        </pic:spPr>
                      </pic:pic>
                    </a:graphicData>
                  </a:graphic>
                </wp:inline>
              </w:drawing>
            </w:r>
          </w:p>
          <w:p w14:paraId="3C74DC53" w14:textId="77777777" w:rsidR="00FD0189" w:rsidRDefault="00000000">
            <w:pPr>
              <w:pStyle w:val="ImageCaption"/>
              <w:spacing w:before="200"/>
            </w:pPr>
            <w:r>
              <w:t xml:space="preserve">Figure 1.1: The cost of males. Imagine a single clonal female in a sexual population at carrying capacity, </w:t>
            </w:r>
            <m:oMath>
              <m:sSub>
                <m:sSubPr>
                  <m:ctrlPr>
                    <w:rPr>
                      <w:rFonts w:ascii="Latin Modern Math" w:hAnsi="Latin Modern Math"/>
                    </w:rPr>
                  </m:ctrlPr>
                </m:sSubPr>
                <m:e>
                  <m:r>
                    <w:rPr>
                      <w:rFonts w:ascii="Latin Modern Math" w:hAnsi="Latin Modern Math"/>
                    </w:rPr>
                    <m:t>K</m:t>
                  </m:r>
                </m:e>
                <m:sub>
                  <m:r>
                    <w:rPr>
                      <w:rFonts w:ascii="Latin Modern Math" w:hAnsi="Latin Modern Math"/>
                    </w:rPr>
                    <m:t>sex</m:t>
                  </m:r>
                </m:sub>
              </m:sSub>
            </m:oMath>
            <w:r>
              <w:t xml:space="preserve">. At </w:t>
            </w:r>
            <m:oMath>
              <m:sSub>
                <m:sSubPr>
                  <m:ctrlPr>
                    <w:rPr>
                      <w:rFonts w:ascii="Latin Modern Math" w:hAnsi="Latin Modern Math"/>
                    </w:rPr>
                  </m:ctrlPr>
                </m:sSubPr>
                <m:e>
                  <m:r>
                    <w:rPr>
                      <w:rFonts w:ascii="Latin Modern Math" w:hAnsi="Latin Modern Math"/>
                    </w:rPr>
                    <m:t>K</m:t>
                  </m:r>
                </m:e>
                <m:sub>
                  <m:r>
                    <w:rPr>
                      <w:rFonts w:ascii="Latin Modern Math" w:hAnsi="Latin Modern Math"/>
                    </w:rPr>
                    <m:t>sex</m:t>
                  </m:r>
                </m:sub>
              </m:sSub>
            </m:oMath>
            <w:r>
              <w:t>, the sexual females are, on average, producing one daughter and one son. In contrast, the clonal female produces two daughters and four granddaughters. Hence, the clonal lineage should rapidly eliminate the sexual population (</w:t>
            </w:r>
            <w:hyperlink w:anchor="fig-1.2">
              <w:r>
                <w:rPr>
                  <w:rStyle w:val="Hyperlink"/>
                </w:rPr>
                <w:t>Figure 1.2</w:t>
              </w:r>
            </w:hyperlink>
            <w:r>
              <w:t>). However, in nature, asexual reproduction is very rare in both plants (</w:t>
            </w:r>
            <w:hyperlink w:anchor="ref-whitton2008a">
              <w:r>
                <w:rPr>
                  <w:rStyle w:val="Hyperlink"/>
                </w:rPr>
                <w:t xml:space="preserve">Whitton </w:t>
              </w:r>
              <w:r>
                <w:rPr>
                  <w:rStyle w:val="Hyperlink"/>
                  <w:i/>
                  <w:iCs/>
                </w:rPr>
                <w:t>et al.</w:t>
              </w:r>
              <w:r>
                <w:rPr>
                  <w:rStyle w:val="Hyperlink"/>
                </w:rPr>
                <w:t xml:space="preserve"> 2008</w:t>
              </w:r>
            </w:hyperlink>
            <w:r>
              <w:t>) and animals (</w:t>
            </w:r>
            <w:proofErr w:type="spellStart"/>
            <w:r>
              <w:fldChar w:fldCharType="begin"/>
            </w:r>
            <w:r>
              <w:instrText>HYPERLINK \l "ref-vrijenhoek1998a" \h</w:instrText>
            </w:r>
            <w:r>
              <w:fldChar w:fldCharType="separate"/>
            </w:r>
            <w:r>
              <w:rPr>
                <w:rStyle w:val="Hyperlink"/>
              </w:rPr>
              <w:t>Vrijenhoek</w:t>
            </w:r>
            <w:proofErr w:type="spellEnd"/>
            <w:r>
              <w:rPr>
                <w:rStyle w:val="Hyperlink"/>
              </w:rPr>
              <w:t xml:space="preserve"> 1998</w:t>
            </w:r>
            <w:r>
              <w:rPr>
                <w:rStyle w:val="Hyperlink"/>
              </w:rPr>
              <w:fldChar w:fldCharType="end"/>
            </w:r>
            <w:r>
              <w:t>). Hence the paradox. Why is sexual reproduction so costly and yet so common?</w:t>
            </w:r>
          </w:p>
        </w:tc>
        <w:bookmarkEnd w:id="22"/>
      </w:tr>
    </w:tbl>
    <w:p w14:paraId="17119B30" w14:textId="77777777" w:rsidR="00FD0189" w:rsidRDefault="00000000">
      <w:pPr>
        <w:pStyle w:val="BodyText"/>
      </w:pPr>
      <w:r>
        <w:t xml:space="preserve">Several assumptions went into Maynard Smith’s model for the cost of males. In particular, he assumed that sexual females and asexual females make the same number of offspring, and that the survivorship of these offspring is also the same. Maynard Smith referred to this as the “all-else-equal assumption.” Unfortunately, some authors have taken the phrase “all-else-equal” to mean that everything else is exactly equal. But this is not the case. Maynard Smith did not assume, for example, that </w:t>
      </w:r>
      <w:proofErr w:type="spellStart"/>
      <w:r>
        <w:t>sexuals</w:t>
      </w:r>
      <w:proofErr w:type="spellEnd"/>
      <w:r>
        <w:t xml:space="preserve"> and </w:t>
      </w:r>
      <w:proofErr w:type="spellStart"/>
      <w:r>
        <w:t>asexuals</w:t>
      </w:r>
      <w:proofErr w:type="spellEnd"/>
      <w:r>
        <w:t xml:space="preserve"> have the same ploidy value.</w:t>
      </w:r>
      <w:r>
        <w:rPr>
          <w:rStyle w:val="FootnoteReference"/>
        </w:rPr>
        <w:footnoteReference w:id="2"/>
      </w:r>
      <w:r>
        <w:t xml:space="preserve"> His model only assumes that sexual and asexual females have equal fecundities and survivorship probabilities (see </w:t>
      </w:r>
      <w:hyperlink w:anchor="sec-app-1">
        <w:r>
          <w:rPr>
            <w:rStyle w:val="Hyperlink"/>
          </w:rPr>
          <w:t>Section 1.4</w:t>
        </w:r>
      </w:hyperlink>
      <w:r>
        <w:t>). Under this assumption, a very rare clone would double in frequency in the next generation. Maynard Smith called this doubling-when-rare the two-fold cost of sex.</w:t>
      </w:r>
    </w:p>
    <w:p w14:paraId="197B48BF" w14:textId="77777777" w:rsidR="00FD0189" w:rsidRDefault="00000000">
      <w:pPr>
        <w:pStyle w:val="Heading3"/>
      </w:pPr>
      <w:bookmarkStart w:id="23" w:name="contrasting-the-costs"/>
      <w:bookmarkStart w:id="24" w:name="_Toc159248486"/>
      <w:bookmarkEnd w:id="20"/>
      <w:r>
        <w:t>1.2.3 Contrasting the costs</w:t>
      </w:r>
      <w:bookmarkEnd w:id="24"/>
    </w:p>
    <w:p w14:paraId="29A285BB" w14:textId="77777777" w:rsidR="00FD0189" w:rsidRDefault="00000000">
      <w:pPr>
        <w:pStyle w:val="FirstParagraph"/>
      </w:pPr>
      <w:r>
        <w:t xml:space="preserve">The two alternative costs of sex raise an immediate question. Does the cost of sex result from reduced relatedness between mother and offspring, or from the cost of producing males? Or is the </w:t>
      </w:r>
      <w:r>
        <w:lastRenderedPageBreak/>
        <w:t>cost some combination of both? These questions are not easy to answer; but there is an algebraic solution, which suggests that (1) the two costs are mutually exclusive, and (2) they apply to different kinds of uniparental progeny (</w:t>
      </w:r>
      <w:hyperlink w:anchor="ref-lively1990b">
        <w:r>
          <w:rPr>
            <w:rStyle w:val="Hyperlink"/>
          </w:rPr>
          <w:t>Lively &amp; Lloyd 1990</w:t>
        </w:r>
      </w:hyperlink>
      <w:r>
        <w:t xml:space="preserve">). Roughly speaking, I think we can adopt the following rules for the purpose of this book. When considering the spread of a rare allele that induces self-fertilization in hermaphrodites, the appropriate cost is Williams’ cost of meiosis. Here we have a single population in which the </w:t>
      </w:r>
      <w:proofErr w:type="spellStart"/>
      <w:r>
        <w:t>selfing</w:t>
      </w:r>
      <w:proofErr w:type="spellEnd"/>
      <w:r>
        <w:t xml:space="preserve"> allele is under positive selection because it has a transmission advantage. On the other hand, when we consider the spread of a clone into an obligately sexual population, we are dealing with competition between two different reproductively isolated groups. One group (the </w:t>
      </w:r>
      <w:proofErr w:type="spellStart"/>
      <w:r>
        <w:t>sexuals</w:t>
      </w:r>
      <w:proofErr w:type="spellEnd"/>
      <w:r>
        <w:t>) produces males, which do not make offspring. The other group (</w:t>
      </w:r>
      <w:proofErr w:type="spellStart"/>
      <w:r>
        <w:t>asexuals</w:t>
      </w:r>
      <w:proofErr w:type="spellEnd"/>
      <w:r>
        <w:t>) produces only females. Here the cost of sex stems from producing males. The two costs do not combine. The cost of sex is not four-fold.</w:t>
      </w:r>
    </w:p>
    <w:tbl>
      <w:tblPr>
        <w:tblStyle w:val="Table"/>
        <w:tblW w:w="5000" w:type="pct"/>
        <w:tblLayout w:type="fixed"/>
        <w:tblLook w:val="0000" w:firstRow="0" w:lastRow="0" w:firstColumn="0" w:lastColumn="0" w:noHBand="0" w:noVBand="0"/>
      </w:tblPr>
      <w:tblGrid>
        <w:gridCol w:w="9360"/>
      </w:tblGrid>
      <w:tr w:rsidR="00FD0189" w14:paraId="14B6B752" w14:textId="77777777">
        <w:tc>
          <w:tcPr>
            <w:tcW w:w="7920" w:type="dxa"/>
          </w:tcPr>
          <w:p w14:paraId="5AF10F34" w14:textId="77777777" w:rsidR="00FD0189" w:rsidRDefault="00000000">
            <w:pPr>
              <w:pStyle w:val="Compact"/>
              <w:jc w:val="center"/>
            </w:pPr>
            <w:bookmarkStart w:id="25" w:name="fig-1.2"/>
            <w:r>
              <w:rPr>
                <w:noProof/>
              </w:rPr>
              <w:drawing>
                <wp:inline distT="0" distB="0" distL="0" distR="0" wp14:anchorId="18B535B2" wp14:editId="42C37CAD">
                  <wp:extent cx="3268980" cy="4663945"/>
                  <wp:effectExtent l="0" t="0" r="0" b="0"/>
                  <wp:docPr id="57" name="Picture" descr="Two data visualizations of simulation results that show the replacement of sexual individuals by a parthenogenetic clone in tens of generations."/>
                  <wp:cNvGraphicFramePr/>
                  <a:graphic xmlns:a="http://schemas.openxmlformats.org/drawingml/2006/main">
                    <a:graphicData uri="http://schemas.openxmlformats.org/drawingml/2006/picture">
                      <pic:pic xmlns:pic="http://schemas.openxmlformats.org/drawingml/2006/picture">
                        <pic:nvPicPr>
                          <pic:cNvPr id="57" name="Picture" descr="Two data visualizations of simulation results that show the replacement of sexual individuals by a parthenogenetic clone in tens of generations."/>
                          <pic:cNvPicPr>
                            <a:picLocks noChangeAspect="1" noChangeArrowheads="1"/>
                          </pic:cNvPicPr>
                        </pic:nvPicPr>
                        <pic:blipFill>
                          <a:blip r:embed="rId32"/>
                          <a:stretch>
                            <a:fillRect/>
                          </a:stretch>
                        </pic:blipFill>
                        <pic:spPr bwMode="auto">
                          <a:xfrm>
                            <a:off x="0" y="0"/>
                            <a:ext cx="3268980" cy="4663945"/>
                          </a:xfrm>
                          <a:prstGeom prst="rect">
                            <a:avLst/>
                          </a:prstGeom>
                          <a:noFill/>
                          <a:ln w="9525">
                            <a:noFill/>
                            <a:headEnd/>
                            <a:tailEnd/>
                          </a:ln>
                        </pic:spPr>
                      </pic:pic>
                    </a:graphicData>
                  </a:graphic>
                </wp:inline>
              </w:drawing>
            </w:r>
          </w:p>
          <w:p w14:paraId="6CE12789" w14:textId="77777777" w:rsidR="00FD0189" w:rsidRDefault="00000000">
            <w:pPr>
              <w:pStyle w:val="ImageCaption"/>
              <w:spacing w:before="200"/>
            </w:pPr>
            <w:r>
              <w:t>Figure 1.2: Clonal invasion dynamics. Results from a simulation study in which a single clonal individual was introduced into a sexual population (</w:t>
            </w:r>
            <w:hyperlink w:anchor="ref-lively2009a">
              <w:r>
                <w:rPr>
                  <w:rStyle w:val="Hyperlink"/>
                </w:rPr>
                <w:t>Lively 2009</w:t>
              </w:r>
            </w:hyperlink>
            <w:r>
              <w:t xml:space="preserve">). </w:t>
            </w:r>
            <w:r>
              <w:rPr>
                <w:b/>
                <w:bCs/>
              </w:rPr>
              <w:t>A (top)</w:t>
            </w:r>
            <w:r>
              <w:t xml:space="preserve">. Results for a one-to-one sex ratio in the sexual population. Here the frequency of daughters produced by sexual females was 1/2. The sexual population was initiated at carrying capacity: </w:t>
            </w:r>
            <m:oMath>
              <m:sSub>
                <m:sSubPr>
                  <m:ctrlPr>
                    <w:rPr>
                      <w:rFonts w:ascii="Latin Modern Math" w:hAnsi="Latin Modern Math"/>
                    </w:rPr>
                  </m:ctrlPr>
                </m:sSubPr>
                <m:e>
                  <m:r>
                    <w:rPr>
                      <w:rFonts w:ascii="Latin Modern Math" w:hAnsi="Latin Modern Math"/>
                    </w:rPr>
                    <m:t>K</m:t>
                  </m:r>
                </m:e>
                <m:sub>
                  <m:r>
                    <w:rPr>
                      <w:rFonts w:ascii="Latin Modern Math" w:hAnsi="Latin Modern Math"/>
                    </w:rPr>
                    <m:t>sex</m:t>
                  </m:r>
                </m:sub>
              </m:sSub>
            </m:oMath>
            <w:r>
              <w:t xml:space="preserve"> = 10,000. A single parthenogenetic female was introduced by the simulation at generation 1,000. Note that the asexual lineage replaces the sexual population in about 25 generations, and that it reaches a </w:t>
            </w:r>
            <w:r>
              <w:lastRenderedPageBreak/>
              <w:t xml:space="preserve">higher carrying capacity </w:t>
            </w:r>
            <m:oMath>
              <m:sSub>
                <m:sSubPr>
                  <m:ctrlPr>
                    <w:rPr>
                      <w:rFonts w:ascii="Latin Modern Math" w:hAnsi="Latin Modern Math"/>
                    </w:rPr>
                  </m:ctrlPr>
                </m:sSubPr>
                <m:e>
                  <m:r>
                    <w:rPr>
                      <w:rFonts w:ascii="Latin Modern Math" w:hAnsi="Latin Modern Math"/>
                    </w:rPr>
                    <m:t>K</m:t>
                  </m:r>
                </m:e>
                <m:sub>
                  <m:r>
                    <w:rPr>
                      <w:rFonts w:ascii="Latin Modern Math" w:hAnsi="Latin Modern Math"/>
                    </w:rPr>
                    <m:t>asex</m:t>
                  </m:r>
                </m:sub>
              </m:sSub>
            </m:oMath>
            <w:r>
              <w:t xml:space="preserve"> = 20,000. </w:t>
            </w:r>
            <w:r>
              <w:rPr>
                <w:b/>
                <w:bCs/>
              </w:rPr>
              <w:t>B (bottom)</w:t>
            </w:r>
            <w:r>
              <w:t xml:space="preserve">. Results for a female-biased sexual population. Here the frequency of daughters produced by sexual females was 0.8. The sexual population was initiated at carrying capacity: </w:t>
            </w:r>
            <m:oMath>
              <m:sSub>
                <m:sSubPr>
                  <m:ctrlPr>
                    <w:rPr>
                      <w:rFonts w:ascii="Latin Modern Math" w:hAnsi="Latin Modern Math"/>
                    </w:rPr>
                  </m:ctrlPr>
                </m:sSubPr>
                <m:e>
                  <m:r>
                    <w:rPr>
                      <w:rFonts w:ascii="Latin Modern Math" w:hAnsi="Latin Modern Math"/>
                    </w:rPr>
                    <m:t>K</m:t>
                  </m:r>
                </m:e>
                <m:sub>
                  <m:r>
                    <w:rPr>
                      <w:rFonts w:ascii="Latin Modern Math" w:hAnsi="Latin Modern Math"/>
                    </w:rPr>
                    <m:t>sex</m:t>
                  </m:r>
                </m:sub>
              </m:sSub>
            </m:oMath>
            <w:r>
              <w:t xml:space="preserve"> = 17,500. As above, a single parthenogenetic female was introduced into the popul</w:t>
            </w:r>
            <w:proofErr w:type="spellStart"/>
            <w:r>
              <w:t>ation</w:t>
            </w:r>
            <w:proofErr w:type="spellEnd"/>
            <w:r>
              <w:t xml:space="preserve"> at generation 1,000. Note that the asexual lineage replaces the sexual population, but it takes longer. The simulation assumes annual reproduction and non-overlapping generations. An </w:t>
            </w:r>
            <w:hyperlink r:id="rId33">
              <w:r>
                <w:rPr>
                  <w:rStyle w:val="Hyperlink"/>
                </w:rPr>
                <w:t>interactive visualization</w:t>
              </w:r>
            </w:hyperlink>
            <w:r>
              <w:t xml:space="preserve"> can be explored using an internet browser. In addition, </w:t>
            </w:r>
            <w:hyperlink r:id="rId34">
              <w:r>
                <w:rPr>
                  <w:rStyle w:val="Hyperlink"/>
                </w:rPr>
                <w:t>the R code for the basic simulation</w:t>
              </w:r>
            </w:hyperlink>
            <w:r>
              <w:t xml:space="preserve"> and </w:t>
            </w:r>
            <w:hyperlink r:id="rId35">
              <w:r>
                <w:rPr>
                  <w:rStyle w:val="Hyperlink"/>
                </w:rPr>
                <w:t>the R code for the interactive simulation</w:t>
              </w:r>
            </w:hyperlink>
            <w:r>
              <w:t xml:space="preserve"> are also available.</w:t>
            </w:r>
          </w:p>
        </w:tc>
        <w:bookmarkEnd w:id="25"/>
      </w:tr>
    </w:tbl>
    <w:p w14:paraId="40A384B4" w14:textId="77777777" w:rsidR="00FD0189" w:rsidRDefault="00000000">
      <w:pPr>
        <w:pStyle w:val="Heading3"/>
      </w:pPr>
      <w:bookmarkStart w:id="26" w:name="the-cost-of-recombination"/>
      <w:bookmarkStart w:id="27" w:name="_Toc159248487"/>
      <w:bookmarkEnd w:id="23"/>
      <w:r>
        <w:lastRenderedPageBreak/>
        <w:t>1.2.4 The cost of recombination</w:t>
      </w:r>
      <w:bookmarkEnd w:id="27"/>
    </w:p>
    <w:p w14:paraId="5C26C4E8" w14:textId="77777777" w:rsidR="00FD0189" w:rsidRDefault="00000000">
      <w:pPr>
        <w:pStyle w:val="FirstParagraph"/>
      </w:pPr>
      <w:r>
        <w:t xml:space="preserve">There is another paradox of sexual reproduction known as the “cost of recombination.” Here the competition is not between sexual and asexual females, or between outcrossing and </w:t>
      </w:r>
      <w:proofErr w:type="spellStart"/>
      <w:r>
        <w:t>selfing</w:t>
      </w:r>
      <w:proofErr w:type="spellEnd"/>
      <w:r>
        <w:t xml:space="preserve">, but rather between alleles that modify the rate of recombination. So instead of asking “Why cross-fertilize?” we can assume cross-fertilization and ask, “Why is there excess crossing-over during meiosis?” Here is the paradox. If combinations of alleles at different loci are favored by natural selection (because together they create high-fitness offspring), then recombination would break these favorable allelic combinations apart. So, it makes no obvious sense to recombine more than needed for normal meiosis. Indeed, </w:t>
      </w:r>
      <w:proofErr w:type="spellStart"/>
      <w:r>
        <w:t>Lewontin</w:t>
      </w:r>
      <w:proofErr w:type="spellEnd"/>
      <w:r>
        <w:t xml:space="preserve"> (</w:t>
      </w:r>
      <w:hyperlink w:anchor="ref-lewontin1971a">
        <w:r>
          <w:rPr>
            <w:rStyle w:val="Hyperlink"/>
          </w:rPr>
          <w:t>1971</w:t>
        </w:r>
      </w:hyperlink>
      <w:r>
        <w:t>) formally showed that “the mean fitness of the population at equilibrium is a maximum in the absence of recombination.”</w:t>
      </w:r>
      <w:r>
        <w:rPr>
          <w:rStyle w:val="FootnoteReference"/>
        </w:rPr>
        <w:footnoteReference w:id="3"/>
      </w:r>
      <w:r>
        <w:t xml:space="preserve"> Hence, there are two interrelated anomalies: cross-fertilization </w:t>
      </w:r>
      <w:r>
        <w:rPr>
          <w:i/>
          <w:iCs/>
        </w:rPr>
        <w:t>per se</w:t>
      </w:r>
      <w:r>
        <w:t xml:space="preserve"> and meiotic recombination. Ideally, any theory that explains the persistence of biparental sex could also solve the paradox of recombination. But this need not be the case. They could have different solutions.</w:t>
      </w:r>
    </w:p>
    <w:p w14:paraId="565CD81D" w14:textId="77777777" w:rsidR="00FD0189" w:rsidRDefault="00000000">
      <w:pPr>
        <w:pStyle w:val="Heading3"/>
      </w:pPr>
      <w:bookmarkStart w:id="28" w:name="darwins-view"/>
      <w:bookmarkStart w:id="29" w:name="_Toc159248488"/>
      <w:bookmarkEnd w:id="26"/>
      <w:r>
        <w:t>1.2.5 Darwin’s view</w:t>
      </w:r>
      <w:bookmarkEnd w:id="29"/>
    </w:p>
    <w:p w14:paraId="42DBB696" w14:textId="77777777" w:rsidR="00FD0189" w:rsidRDefault="00000000">
      <w:pPr>
        <w:pStyle w:val="FirstParagraph"/>
      </w:pPr>
      <w:r>
        <w:t xml:space="preserve">Even before the costs of meiosis and males were so dramatically revealed by Williams and Maynard Smith, biologists were reckoning with the anomaly of sex (reviews in </w:t>
      </w:r>
      <w:hyperlink w:anchor="ref-dagg2016a">
        <w:proofErr w:type="spellStart"/>
        <w:r>
          <w:rPr>
            <w:rStyle w:val="Hyperlink"/>
          </w:rPr>
          <w:t>Dagg</w:t>
        </w:r>
        <w:proofErr w:type="spellEnd"/>
        <w:r>
          <w:rPr>
            <w:rStyle w:val="Hyperlink"/>
          </w:rPr>
          <w:t xml:space="preserve"> 2016</w:t>
        </w:r>
      </w:hyperlink>
      <w:r>
        <w:t xml:space="preserve">; </w:t>
      </w:r>
      <w:hyperlink w:anchor="ref-meirmans2009a">
        <w:proofErr w:type="spellStart"/>
        <w:r>
          <w:rPr>
            <w:rStyle w:val="Hyperlink"/>
          </w:rPr>
          <w:t>Meirmans</w:t>
        </w:r>
        <w:proofErr w:type="spellEnd"/>
        <w:r>
          <w:rPr>
            <w:rStyle w:val="Hyperlink"/>
          </w:rPr>
          <w:t xml:space="preserve"> 2009</w:t>
        </w:r>
      </w:hyperlink>
      <w:r>
        <w:t xml:space="preserve">). One of the earliest of these biologists was Charles Darwin. After he published the </w:t>
      </w:r>
      <w:r>
        <w:rPr>
          <w:i/>
          <w:iCs/>
        </w:rPr>
        <w:t>Origin of Species</w:t>
      </w:r>
      <w:r>
        <w:t xml:space="preserve">, Darwin was doing hand-pollination experiments at Down House on three species of a curious plant in the genus </w:t>
      </w:r>
      <w:r>
        <w:rPr>
          <w:i/>
          <w:iCs/>
        </w:rPr>
        <w:t>Primula</w:t>
      </w:r>
      <w:r>
        <w:t xml:space="preserve">. The plant is curious in that it has two morphs. One morph has a style that extends beyond the anthers (the long-style morph), and the other morph has anthers that extend beyond the style (the short-style morph). Botanists refer to this condition as </w:t>
      </w:r>
      <w:proofErr w:type="spellStart"/>
      <w:r>
        <w:t>distyly</w:t>
      </w:r>
      <w:proofErr w:type="spellEnd"/>
      <w:r>
        <w:t xml:space="preserve"> (</w:t>
      </w:r>
      <w:hyperlink w:anchor="fig-1.3">
        <w:r>
          <w:rPr>
            <w:rStyle w:val="Hyperlink"/>
          </w:rPr>
          <w:t>Figure 1.3</w:t>
        </w:r>
      </w:hyperlink>
      <w:r>
        <w:t>). Darwin (</w:t>
      </w:r>
      <w:hyperlink w:anchor="ref-darwin1862a">
        <w:r>
          <w:rPr>
            <w:rStyle w:val="Hyperlink"/>
          </w:rPr>
          <w:t>1862</w:t>
        </w:r>
      </w:hyperlink>
      <w:r>
        <w:t xml:space="preserve">) found that crosses between the different morphs of the same species resulted in a very successful production of </w:t>
      </w:r>
      <w:proofErr w:type="gramStart"/>
      <w:r>
        <w:t>seeds, but</w:t>
      </w:r>
      <w:proofErr w:type="gramEnd"/>
      <w:r>
        <w:t xml:space="preserve"> crosses between unrelated individuals of the same morph were dramatically less successful. In discussing these results, Darwin speculated that the two morphs may have evolved to ensure cross-fertilization: “Whether or not </w:t>
      </w:r>
      <w:r>
        <w:lastRenderedPageBreak/>
        <w:t xml:space="preserve">the dimorphic condition of the </w:t>
      </w:r>
      <w:r>
        <w:rPr>
          <w:i/>
          <w:iCs/>
        </w:rPr>
        <w:t>Primula</w:t>
      </w:r>
      <w:r>
        <w:t xml:space="preserve"> has any bearing on other points in natural history, it is valuable as showing how nature strives, if I may so express myself, to </w:t>
      </w:r>
      <w:proofErr w:type="spellStart"/>
      <w:r>
        <w:t>favour</w:t>
      </w:r>
      <w:proofErr w:type="spellEnd"/>
      <w:r>
        <w:t xml:space="preserve"> the sexual union of distinct individuals of the same species.”</w:t>
      </w:r>
    </w:p>
    <w:tbl>
      <w:tblPr>
        <w:tblStyle w:val="Table"/>
        <w:tblW w:w="5000" w:type="pct"/>
        <w:tblLayout w:type="fixed"/>
        <w:tblLook w:val="0000" w:firstRow="0" w:lastRow="0" w:firstColumn="0" w:lastColumn="0" w:noHBand="0" w:noVBand="0"/>
      </w:tblPr>
      <w:tblGrid>
        <w:gridCol w:w="9360"/>
      </w:tblGrid>
      <w:tr w:rsidR="00FD0189" w14:paraId="4849A087" w14:textId="77777777">
        <w:tc>
          <w:tcPr>
            <w:tcW w:w="7920" w:type="dxa"/>
          </w:tcPr>
          <w:p w14:paraId="01F88179" w14:textId="77777777" w:rsidR="00FD0189" w:rsidRDefault="00000000">
            <w:pPr>
              <w:pStyle w:val="Compact"/>
              <w:jc w:val="center"/>
            </w:pPr>
            <w:bookmarkStart w:id="30" w:name="fig-1.3"/>
            <w:r>
              <w:rPr>
                <w:noProof/>
              </w:rPr>
              <w:drawing>
                <wp:inline distT="0" distB="0" distL="0" distR="0" wp14:anchorId="0A6C4F3A" wp14:editId="1FF3E711">
                  <wp:extent cx="5943600" cy="2650146"/>
                  <wp:effectExtent l="0" t="0" r="0" b="0"/>
                  <wp:docPr id="67" name="Picture" descr="Drawing showing the short-style and long-style forms of Primula used in Darwin's pollination experiment."/>
                  <wp:cNvGraphicFramePr/>
                  <a:graphic xmlns:a="http://schemas.openxmlformats.org/drawingml/2006/main">
                    <a:graphicData uri="http://schemas.openxmlformats.org/drawingml/2006/picture">
                      <pic:pic xmlns:pic="http://schemas.openxmlformats.org/drawingml/2006/picture">
                        <pic:nvPicPr>
                          <pic:cNvPr id="67" name="Picture" descr="Drawing showing the short-style and long-style forms of Primula used in Darwin's pollination experiment."/>
                          <pic:cNvPicPr>
                            <a:picLocks noChangeAspect="1" noChangeArrowheads="1"/>
                          </pic:cNvPicPr>
                        </pic:nvPicPr>
                        <pic:blipFill>
                          <a:blip r:embed="rId36"/>
                          <a:stretch>
                            <a:fillRect/>
                          </a:stretch>
                        </pic:blipFill>
                        <pic:spPr bwMode="auto">
                          <a:xfrm>
                            <a:off x="0" y="0"/>
                            <a:ext cx="5943600" cy="2650146"/>
                          </a:xfrm>
                          <a:prstGeom prst="rect">
                            <a:avLst/>
                          </a:prstGeom>
                          <a:noFill/>
                          <a:ln w="9525">
                            <a:noFill/>
                            <a:headEnd/>
                            <a:tailEnd/>
                          </a:ln>
                        </pic:spPr>
                      </pic:pic>
                    </a:graphicData>
                  </a:graphic>
                </wp:inline>
              </w:drawing>
            </w:r>
          </w:p>
          <w:p w14:paraId="358B9E6E" w14:textId="77777777" w:rsidR="00FD0189" w:rsidRDefault="00000000">
            <w:pPr>
              <w:pStyle w:val="ImageCaption"/>
              <w:spacing w:before="200"/>
            </w:pPr>
            <w:r>
              <w:t>Figure 1.3: Two flower morphs (</w:t>
            </w:r>
            <w:proofErr w:type="spellStart"/>
            <w:r>
              <w:t>distyly</w:t>
            </w:r>
            <w:proofErr w:type="spellEnd"/>
            <w:r>
              <w:t xml:space="preserve">) in </w:t>
            </w:r>
            <w:r>
              <w:rPr>
                <w:i/>
                <w:iCs/>
              </w:rPr>
              <w:t>Primula</w:t>
            </w:r>
            <w:r>
              <w:t>. Darwin found that the short-styled morph (left) is incompatible with other short-style morphs and that the long-styled morph (right) is incompatible with other long-style morphs. But the two different morphs can cross-fertilize. The arrows show movement of pollen from anthers to stigmas. The “X” indicates incompatibility. Redrawn from Darwin (</w:t>
            </w:r>
            <w:hyperlink w:anchor="ref-darwin1862a">
              <w:r>
                <w:rPr>
                  <w:rStyle w:val="Hyperlink"/>
                </w:rPr>
                <w:t>1862</w:t>
              </w:r>
            </w:hyperlink>
            <w:r>
              <w:t>) by ZMD.</w:t>
            </w:r>
          </w:p>
        </w:tc>
        <w:bookmarkEnd w:id="30"/>
      </w:tr>
    </w:tbl>
    <w:p w14:paraId="4BA03F39" w14:textId="77777777" w:rsidR="00FD0189" w:rsidRDefault="00000000">
      <w:pPr>
        <w:pStyle w:val="BodyText"/>
      </w:pPr>
      <w:r>
        <w:t xml:space="preserve">Darwin then asks a killer question. Why should the union of elements from distinct individuals be favored? Why, in fact, is there sex? “Nor do we know why nature should thus strive after the intercrossing of distinct individuals. We do not even in the least know the final cause of sexuality; why new beings should be produced by the union of the two sexual elements, instead of by a process of parthenogenesis. The whole subject is </w:t>
      </w:r>
      <w:proofErr w:type="gramStart"/>
      <w:r>
        <w:t>as yet</w:t>
      </w:r>
      <w:proofErr w:type="gramEnd"/>
      <w:r>
        <w:t xml:space="preserve"> hidden in darkness.” Darwin’s question shows that the cross-fertilization is curious, even without considering the costs of sex. It also shows how Darwin was drawn to anomalies on theory.</w:t>
      </w:r>
      <w:r>
        <w:rPr>
          <w:rStyle w:val="FootnoteReference"/>
        </w:rPr>
        <w:footnoteReference w:id="4"/>
      </w:r>
    </w:p>
    <w:p w14:paraId="5DA641ED" w14:textId="77777777" w:rsidR="00FD0189" w:rsidRDefault="00000000">
      <w:pPr>
        <w:pStyle w:val="BodyText"/>
      </w:pPr>
      <w:r>
        <w:t xml:space="preserve">It is interesting to note that, in Darwin’s quote above, he switches from discussing mechanisms to prevent self-fertilization, such as </w:t>
      </w:r>
      <w:proofErr w:type="spellStart"/>
      <w:r>
        <w:t>distyly</w:t>
      </w:r>
      <w:proofErr w:type="spellEnd"/>
      <w:r>
        <w:t xml:space="preserve">, to discussing parthenogenesis. Self-fertilization is a sexual process (involving the formation and fusion of gametes from the same parent), while parthenogenesis is an asexual process that does not generally involve meiosis and syngamy (review in </w:t>
      </w:r>
      <w:hyperlink w:anchor="ref-bell1982a">
        <w:r>
          <w:rPr>
            <w:rStyle w:val="Hyperlink"/>
          </w:rPr>
          <w:t>Bell 1982</w:t>
        </w:r>
      </w:hyperlink>
      <w:r>
        <w:t xml:space="preserve">). But parthenogenesis and self-fertilization are conceptually related, as they are both uniparental forms of reproduction. Hence, it makes sense that Darwin would switch back and </w:t>
      </w:r>
      <w:r>
        <w:lastRenderedPageBreak/>
        <w:t xml:space="preserve">forth between these two different forms of uniparental reproduction. Why cross-fertilize if either </w:t>
      </w:r>
      <w:proofErr w:type="spellStart"/>
      <w:r>
        <w:t>selfing</w:t>
      </w:r>
      <w:proofErr w:type="spellEnd"/>
      <w:r>
        <w:t xml:space="preserve"> or parthenogenesis is an option?</w:t>
      </w:r>
    </w:p>
    <w:p w14:paraId="4E3C013B" w14:textId="77777777" w:rsidR="00FD0189" w:rsidRDefault="00000000">
      <w:pPr>
        <w:pStyle w:val="BodyText"/>
      </w:pPr>
      <w:r>
        <w:t>There may be another reason why Darwin pivots to parthenogenesis. Just prior to the publication of Darwin’s (</w:t>
      </w:r>
      <w:hyperlink w:anchor="ref-darwin1862a">
        <w:r>
          <w:rPr>
            <w:rStyle w:val="Hyperlink"/>
          </w:rPr>
          <w:t>1862</w:t>
        </w:r>
      </w:hyperlink>
      <w:r>
        <w:t xml:space="preserve">) paper on </w:t>
      </w:r>
      <w:r>
        <w:rPr>
          <w:i/>
          <w:iCs/>
        </w:rPr>
        <w:t>Primula</w:t>
      </w:r>
      <w:r>
        <w:t>, Carl Theodor Ernst von Siebold (</w:t>
      </w:r>
      <w:hyperlink w:anchor="ref-siebold1856a">
        <w:r>
          <w:rPr>
            <w:rStyle w:val="Hyperlink"/>
          </w:rPr>
          <w:t>1856</w:t>
        </w:r>
      </w:hyperlink>
      <w:r>
        <w:t xml:space="preserve">) published his observations on the successful development of adults from unfertilized eggs, which he called “parthenogenesis” (virgin birth). These were revolutionary observations, which caught Darwin’s attention. In a letter to his mentor, J.S. </w:t>
      </w:r>
      <w:proofErr w:type="spellStart"/>
      <w:r>
        <w:t>Henslow</w:t>
      </w:r>
      <w:proofErr w:type="spellEnd"/>
      <w:r>
        <w:t>, Darwin mentioned von Siebold’s discovery as follows: “There is no greater mystery in the whole world, as it seems to me, than the existence of sexes, – more especially since the discovery of Parthenogenesis” (</w:t>
      </w:r>
      <w:hyperlink w:anchor="ref-darwin1860a">
        <w:r>
          <w:rPr>
            <w:rStyle w:val="Hyperlink"/>
          </w:rPr>
          <w:t>Darwin n.d.</w:t>
        </w:r>
      </w:hyperlink>
      <w:r>
        <w:t>).</w:t>
      </w:r>
    </w:p>
    <w:p w14:paraId="6F080FFE" w14:textId="77777777" w:rsidR="00FD0189" w:rsidRDefault="00000000">
      <w:pPr>
        <w:pStyle w:val="BodyText"/>
      </w:pPr>
      <w:r>
        <w:t>However, the discovery of parthenogenesis was met with some hostility.</w:t>
      </w:r>
      <w:r>
        <w:rPr>
          <w:rStyle w:val="FootnoteReference"/>
        </w:rPr>
        <w:footnoteReference w:id="5"/>
      </w:r>
      <w:r>
        <w:t xml:space="preserve"> Consider, for example, the following statement by Rudolf Wagner in his 1857 review of von Siebold’s book on parthenogenesis (as translated from the original German by Churchill </w:t>
      </w:r>
      <w:hyperlink w:anchor="ref-churchill1979a">
        <w:r>
          <w:rPr>
            <w:rStyle w:val="Hyperlink"/>
          </w:rPr>
          <w:t>1979</w:t>
        </w:r>
      </w:hyperlink>
      <w:r>
        <w:t>): “I must unfortunately say that one of the most unpleasant of facts, [</w:t>
      </w:r>
      <w:r>
        <w:rPr>
          <w:i/>
          <w:iCs/>
        </w:rPr>
        <w:t>Parthenogenesis</w:t>
      </w:r>
      <w:r>
        <w:t xml:space="preserve">] has been introduced into physiology, which for the hope of so-called general laws of animal life-phenomena </w:t>
      </w:r>
      <w:r>
        <w:rPr>
          <w:i/>
          <w:iCs/>
        </w:rPr>
        <w:t>is most distasteful</w:t>
      </w:r>
      <w:r>
        <w:t>. It is impossible, considering the glorification of our highly vaunted progress in the theoretical understanding of the life processes, for it to be welcomed or particularly encouraged; and sincerely speaking, I can be as little pleased about it as a physicist would be if suddenly one or more exceptions to the law of gravitation were discovered” (Emphasis added).</w:t>
      </w:r>
    </w:p>
    <w:p w14:paraId="235A8221" w14:textId="77777777" w:rsidR="00FD0189" w:rsidRDefault="00000000">
      <w:pPr>
        <w:pStyle w:val="BodyText"/>
      </w:pPr>
      <w:r>
        <w:t>Clearly, Wagner was not pleased with the discovery of asexual reproduction, calling it unpleasant, unwelcome, and distasteful. By contrast, Darwin did not find the idea to be distasteful in any way. He wondered instead why it was not more common. For example, Darwin (</w:t>
      </w:r>
      <w:hyperlink w:anchor="ref-darwin1868a">
        <w:r>
          <w:rPr>
            <w:rStyle w:val="Hyperlink"/>
          </w:rPr>
          <w:t>1868</w:t>
        </w:r>
      </w:hyperlink>
      <w:r>
        <w:t>) wrote, “Parthenogenesis is no longer wonderful; in fact, the wonder is that it should not oftener occur.”</w:t>
      </w:r>
      <w:r>
        <w:rPr>
          <w:rStyle w:val="FootnoteReference"/>
        </w:rPr>
        <w:footnoteReference w:id="6"/>
      </w:r>
    </w:p>
    <w:p w14:paraId="623EF365" w14:textId="77777777" w:rsidR="00FD0189" w:rsidRDefault="00000000">
      <w:pPr>
        <w:pStyle w:val="BodyText"/>
      </w:pPr>
      <w:r>
        <w:t>Over 100 years later, W. D. Hamilton (</w:t>
      </w:r>
      <w:hyperlink w:anchor="ref-hamilton1975a">
        <w:r>
          <w:rPr>
            <w:rStyle w:val="Hyperlink"/>
          </w:rPr>
          <w:t>1975b</w:t>
        </w:r>
      </w:hyperlink>
      <w:r>
        <w:t>) was also pondering the evolution of outcrossing, and he wrote something conceptually similar: “[c]</w:t>
      </w:r>
      <w:proofErr w:type="spellStart"/>
      <w:r>
        <w:t>omplete</w:t>
      </w:r>
      <w:proofErr w:type="spellEnd"/>
      <w:r>
        <w:t xml:space="preserve"> inbreeding abandons the obviously important advantages of sexual reproduction, whatever these are.” Whatever these are! The advantages of outcrossing were obviously important because cross-fertilization is so dominant. But the source of these advantages was not clear. At about the same time, Maynard Smith (</w:t>
      </w:r>
      <w:hyperlink w:anchor="ref-maynard1976a">
        <w:r>
          <w:rPr>
            <w:rStyle w:val="Hyperlink"/>
          </w:rPr>
          <w:t>1976</w:t>
        </w:r>
      </w:hyperlink>
      <w:r>
        <w:t>) mused, “One gets the feeling that some essential feature of the situation has been overlooked.”</w:t>
      </w:r>
    </w:p>
    <w:p w14:paraId="240C4781" w14:textId="77777777" w:rsidR="00FD0189" w:rsidRDefault="00000000">
      <w:pPr>
        <w:pStyle w:val="BodyText"/>
      </w:pPr>
      <w:r>
        <w:t>I now think that John Maynard Smith was correct. An essential feature had indeed been overlooked: parasites.</w:t>
      </w:r>
    </w:p>
    <w:p w14:paraId="061FE33A" w14:textId="77777777" w:rsidR="00FD0189" w:rsidRDefault="00000000">
      <w:pPr>
        <w:pStyle w:val="Heading2"/>
      </w:pPr>
      <w:bookmarkStart w:id="31" w:name="summary"/>
      <w:bookmarkStart w:id="32" w:name="_Toc159248489"/>
      <w:bookmarkEnd w:id="16"/>
      <w:bookmarkEnd w:id="28"/>
      <w:r>
        <w:lastRenderedPageBreak/>
        <w:t>1.3 Summary</w:t>
      </w:r>
      <w:bookmarkEnd w:id="32"/>
    </w:p>
    <w:p w14:paraId="105CE6DD" w14:textId="77777777" w:rsidR="00FD0189" w:rsidRDefault="00000000">
      <w:pPr>
        <w:pStyle w:val="Compact"/>
        <w:numPr>
          <w:ilvl w:val="0"/>
          <w:numId w:val="27"/>
        </w:numPr>
      </w:pPr>
      <w:r>
        <w:t>Obligate sexual reproduction is subject to invasion and replacement by all-female asexual lineages that do not pay the cost of males.</w:t>
      </w:r>
    </w:p>
    <w:p w14:paraId="57116800" w14:textId="77777777" w:rsidR="00FD0189" w:rsidRDefault="00000000">
      <w:pPr>
        <w:pStyle w:val="Compact"/>
        <w:numPr>
          <w:ilvl w:val="0"/>
          <w:numId w:val="27"/>
        </w:numPr>
      </w:pPr>
      <w:r>
        <w:t>Obligate outcrossing in simultaneous hermaphrodites is subject to invasion and replacement by self-fertilization unless inbreeding depression is severe.</w:t>
      </w:r>
    </w:p>
    <w:p w14:paraId="51CFBF49" w14:textId="77777777" w:rsidR="00FD0189" w:rsidRDefault="00000000">
      <w:pPr>
        <w:pStyle w:val="Compact"/>
        <w:numPr>
          <w:ilvl w:val="0"/>
          <w:numId w:val="27"/>
        </w:numPr>
      </w:pPr>
      <w:r>
        <w:t>The exchange of DNA between different parental chromosomes (recombination) is similarly paradoxical.</w:t>
      </w:r>
    </w:p>
    <w:p w14:paraId="29EA33F4" w14:textId="77777777" w:rsidR="00FD0189" w:rsidRDefault="00000000">
      <w:pPr>
        <w:pStyle w:val="Compact"/>
        <w:numPr>
          <w:ilvl w:val="0"/>
          <w:numId w:val="27"/>
        </w:numPr>
      </w:pPr>
      <w:r>
        <w:t>Why then are recombination and cross-fertilization so common?</w:t>
      </w:r>
    </w:p>
    <w:p w14:paraId="18D7E8B7" w14:textId="77777777" w:rsidR="00FD0189" w:rsidRDefault="00000000">
      <w:pPr>
        <w:pStyle w:val="Heading2"/>
      </w:pPr>
      <w:bookmarkStart w:id="33" w:name="sec-app-1"/>
      <w:bookmarkStart w:id="34" w:name="_Toc159248490"/>
      <w:bookmarkEnd w:id="31"/>
      <w:r>
        <w:t>1.4 Appendix: Maynard Smith’s Model</w:t>
      </w:r>
      <w:bookmarkEnd w:id="34"/>
    </w:p>
    <w:p w14:paraId="2E077C7D" w14:textId="77777777" w:rsidR="00FD0189" w:rsidRDefault="00000000">
      <w:pPr>
        <w:pStyle w:val="FirstParagraph"/>
      </w:pPr>
      <w:r>
        <w:t>John Maynard Smith’s (</w:t>
      </w:r>
      <w:hyperlink w:anchor="ref-maynard1978a">
        <w:r>
          <w:rPr>
            <w:rStyle w:val="Hyperlink"/>
          </w:rPr>
          <w:t>1978</w:t>
        </w:r>
      </w:hyperlink>
      <w:r>
        <w:t>) model, reproduced here, shows the cost of producing males.</w:t>
      </w:r>
      <w:r>
        <w:rPr>
          <w:rStyle w:val="FootnoteReference"/>
        </w:rPr>
        <w:footnoteReference w:id="7"/>
      </w:r>
      <w:r>
        <w:t xml:space="preserve"> Let </w:t>
      </w:r>
      <m:oMath>
        <m:sSub>
          <m:sSubPr>
            <m:ctrlPr>
              <w:rPr>
                <w:rFonts w:ascii="Latin Modern Math" w:hAnsi="Latin Modern Math"/>
              </w:rPr>
            </m:ctrlPr>
          </m:sSubPr>
          <m:e>
            <m:r>
              <w:rPr>
                <w:rFonts w:ascii="Latin Modern Math" w:hAnsi="Latin Modern Math"/>
              </w:rPr>
              <m:t>N</m:t>
            </m:r>
          </m:e>
          <m:sub>
            <m:r>
              <w:rPr>
                <w:rFonts w:ascii="Latin Modern Math" w:hAnsi="Latin Modern Math"/>
              </w:rPr>
              <m:t>asex</m:t>
            </m:r>
          </m:sub>
        </m:sSub>
      </m:oMath>
      <w:r>
        <w:t xml:space="preserve"> be the number of asexual females at time one, while </w:t>
      </w:r>
      <m:oMath>
        <m:sSub>
          <m:sSubPr>
            <m:ctrlPr>
              <w:rPr>
                <w:rFonts w:ascii="Latin Modern Math" w:hAnsi="Latin Modern Math"/>
              </w:rPr>
            </m:ctrlPr>
          </m:sSubPr>
          <m:e>
            <m:r>
              <w:rPr>
                <w:rFonts w:ascii="Latin Modern Math" w:hAnsi="Latin Modern Math"/>
              </w:rPr>
              <m:t>N</m:t>
            </m:r>
          </m:e>
          <m:sub>
            <m:r>
              <w:rPr>
                <w:rFonts w:ascii="Latin Modern Math" w:hAnsi="Latin Modern Math"/>
              </w:rPr>
              <m:t>sex</m:t>
            </m:r>
          </m:sub>
        </m:sSub>
      </m:oMath>
      <w:r>
        <w:t xml:space="preserve"> gives the total number of sexual individuals (males plus females) at time one. Let </w:t>
      </w:r>
      <m:oMath>
        <m:sSub>
          <m:sSubPr>
            <m:ctrlPr>
              <w:rPr>
                <w:rFonts w:ascii="Latin Modern Math" w:hAnsi="Latin Modern Math"/>
              </w:rPr>
            </m:ctrlPr>
          </m:sSubPr>
          <m:e>
            <m:r>
              <w:rPr>
                <w:rFonts w:ascii="Latin Modern Math" w:hAnsi="Latin Modern Math"/>
              </w:rPr>
              <m:t>B</m:t>
            </m:r>
          </m:e>
          <m:sub>
            <m:r>
              <w:rPr>
                <w:rFonts w:ascii="Latin Modern Math" w:hAnsi="Latin Modern Math"/>
              </w:rPr>
              <m:t>asex</m:t>
            </m:r>
          </m:sub>
        </m:sSub>
      </m:oMath>
      <w:r>
        <w:t xml:space="preserve"> give the number of offspring produced by asexual females, and </w:t>
      </w:r>
      <m:oMath>
        <m:sSub>
          <m:sSubPr>
            <m:ctrlPr>
              <w:rPr>
                <w:rFonts w:ascii="Latin Modern Math" w:hAnsi="Latin Modern Math"/>
              </w:rPr>
            </m:ctrlPr>
          </m:sSubPr>
          <m:e>
            <m:r>
              <w:rPr>
                <w:rFonts w:ascii="Latin Modern Math" w:hAnsi="Latin Modern Math"/>
              </w:rPr>
              <m:t>S</m:t>
            </m:r>
          </m:e>
          <m:sub>
            <m:r>
              <w:rPr>
                <w:rFonts w:ascii="Latin Modern Math" w:hAnsi="Latin Modern Math"/>
              </w:rPr>
              <m:t>asex</m:t>
            </m:r>
          </m:sub>
        </m:sSub>
      </m:oMath>
      <w:r>
        <w:t xml:space="preserve"> gives the survival probability of asexual offspring to maturity. The number of surviving asexual offspring is then </w:t>
      </w:r>
      <m:oMath>
        <m:r>
          <m:rPr>
            <m:sty m:val="p"/>
          </m:rPr>
          <w:rPr>
            <w:rFonts w:ascii="Latin Modern Math" w:hAnsi="Latin Modern Math"/>
          </w:rPr>
          <m:t>=</m:t>
        </m:r>
        <m:sSub>
          <m:sSubPr>
            <m:ctrlPr>
              <w:rPr>
                <w:rFonts w:ascii="Latin Modern Math" w:hAnsi="Latin Modern Math"/>
              </w:rPr>
            </m:ctrlPr>
          </m:sSubPr>
          <m:e>
            <m:r>
              <w:rPr>
                <w:rFonts w:ascii="Latin Modern Math" w:hAnsi="Latin Modern Math"/>
              </w:rPr>
              <m:t>B</m:t>
            </m:r>
          </m:e>
          <m:sub>
            <m:r>
              <w:rPr>
                <w:rFonts w:ascii="Latin Modern Math" w:hAnsi="Latin Modern Math"/>
              </w:rPr>
              <m:t>asex</m:t>
            </m:r>
          </m:sub>
        </m:sSub>
        <m:sSub>
          <m:sSubPr>
            <m:ctrlPr>
              <w:rPr>
                <w:rFonts w:ascii="Latin Modern Math" w:hAnsi="Latin Modern Math"/>
              </w:rPr>
            </m:ctrlPr>
          </m:sSubPr>
          <m:e>
            <m:r>
              <w:rPr>
                <w:rFonts w:ascii="Latin Modern Math" w:hAnsi="Latin Modern Math"/>
              </w:rPr>
              <m:t>S</m:t>
            </m:r>
          </m:e>
          <m:sub>
            <m:r>
              <w:rPr>
                <w:rFonts w:ascii="Latin Modern Math" w:hAnsi="Latin Modern Math"/>
              </w:rPr>
              <m:t>asex</m:t>
            </m:r>
          </m:sub>
        </m:sSub>
      </m:oMath>
      <w:r>
        <w:t xml:space="preserve">. Similarly, let </w:t>
      </w:r>
      <m:oMath>
        <m:sSub>
          <m:sSubPr>
            <m:ctrlPr>
              <w:rPr>
                <w:rFonts w:ascii="Latin Modern Math" w:hAnsi="Latin Modern Math"/>
              </w:rPr>
            </m:ctrlPr>
          </m:sSubPr>
          <m:e>
            <m:r>
              <w:rPr>
                <w:rFonts w:ascii="Latin Modern Math" w:hAnsi="Latin Modern Math"/>
              </w:rPr>
              <m:t>B</m:t>
            </m:r>
          </m:e>
          <m:sub>
            <m:r>
              <w:rPr>
                <w:rFonts w:ascii="Latin Modern Math" w:hAnsi="Latin Modern Math"/>
              </w:rPr>
              <m:t>sex</m:t>
            </m:r>
          </m:sub>
        </m:sSub>
      </m:oMath>
      <w:r>
        <w:t xml:space="preserve"> be the number offspring produced by sexual females, and let </w:t>
      </w:r>
      <m:oMath>
        <m:sSub>
          <m:sSubPr>
            <m:ctrlPr>
              <w:rPr>
                <w:rFonts w:ascii="Latin Modern Math" w:hAnsi="Latin Modern Math"/>
              </w:rPr>
            </m:ctrlPr>
          </m:sSubPr>
          <m:e>
            <m:r>
              <w:rPr>
                <w:rFonts w:ascii="Latin Modern Math" w:hAnsi="Latin Modern Math"/>
              </w:rPr>
              <m:t>S</m:t>
            </m:r>
          </m:e>
          <m:sub>
            <m:r>
              <w:rPr>
                <w:rFonts w:ascii="Latin Modern Math" w:hAnsi="Latin Modern Math"/>
              </w:rPr>
              <m:t>sex</m:t>
            </m:r>
          </m:sub>
        </m:sSub>
      </m:oMath>
      <w:r>
        <w:t xml:space="preserve"> give the survival probability of sexually produced offspring. Maynard Smith assumed that all individuals reproduce once and then die. Let </w:t>
      </w:r>
      <m:oMath>
        <m:r>
          <w:rPr>
            <w:rFonts w:ascii="Latin Modern Math" w:hAnsi="Latin Modern Math"/>
          </w:rPr>
          <m:t>r</m:t>
        </m:r>
      </m:oMath>
      <w:r>
        <w:t xml:space="preserve"> be the frequency of females in the sexual population. The number of </w:t>
      </w:r>
      <w:proofErr w:type="spellStart"/>
      <w:r>
        <w:t>asexuals</w:t>
      </w:r>
      <w:proofErr w:type="spellEnd"/>
      <w:r>
        <w:t xml:space="preserve"> and </w:t>
      </w:r>
      <w:proofErr w:type="spellStart"/>
      <w:r>
        <w:t>sexuals</w:t>
      </w:r>
      <w:proofErr w:type="spellEnd"/>
      <w:r>
        <w:t xml:space="preserve"> at time two can then be calculated as in the table below. (Note, we do not assume that the population is at carrying capacity).</w:t>
      </w:r>
    </w:p>
    <w:tbl>
      <w:tblPr>
        <w:tblStyle w:val="Table"/>
        <w:tblW w:w="5000" w:type="pct"/>
        <w:tblLayout w:type="fixed"/>
        <w:tblLook w:val="0020" w:firstRow="1" w:lastRow="0" w:firstColumn="0" w:lastColumn="0" w:noHBand="0" w:noVBand="0"/>
      </w:tblPr>
      <w:tblGrid>
        <w:gridCol w:w="9360"/>
      </w:tblGrid>
      <w:tr w:rsidR="00FD0189" w14:paraId="29E940A5" w14:textId="77777777" w:rsidTr="007D0981">
        <w:trPr>
          <w:cnfStyle w:val="100000000000" w:firstRow="1" w:lastRow="0" w:firstColumn="0" w:lastColumn="0" w:oddVBand="0" w:evenVBand="0" w:oddHBand="0" w:evenHBand="0" w:firstRowFirstColumn="0" w:firstRowLastColumn="0" w:lastRowFirstColumn="0" w:lastRowLastColumn="0"/>
        </w:trPr>
        <w:tc>
          <w:tcPr>
            <w:tcW w:w="7920" w:type="dxa"/>
          </w:tcPr>
          <w:p w14:paraId="703F903D" w14:textId="77777777" w:rsidR="00FD0189" w:rsidRDefault="00000000">
            <w:pPr>
              <w:pStyle w:val="ImageCaption"/>
              <w:spacing w:before="200"/>
            </w:pPr>
            <w:bookmarkStart w:id="35" w:name="tbl-t1t2"/>
            <w:r>
              <w:t>Table 1.1: Appendix: Maynard Smith’s Model</w:t>
            </w:r>
          </w:p>
          <w:tbl>
            <w:tblPr>
              <w:tblStyle w:val="Table"/>
              <w:tblW w:w="0" w:type="auto"/>
              <w:tblLayout w:type="fixed"/>
              <w:tblLook w:val="01A0" w:firstRow="1" w:lastRow="0" w:firstColumn="1" w:lastColumn="1" w:noHBand="0" w:noVBand="0"/>
            </w:tblPr>
            <w:tblGrid>
              <w:gridCol w:w="2640"/>
              <w:gridCol w:w="2640"/>
              <w:gridCol w:w="2640"/>
            </w:tblGrid>
            <w:tr w:rsidR="00FD0189" w14:paraId="33CF2514" w14:textId="77777777" w:rsidTr="007D0981">
              <w:trPr>
                <w:cnfStyle w:val="100000000000" w:firstRow="1" w:lastRow="0" w:firstColumn="0" w:lastColumn="0" w:oddVBand="0" w:evenVBand="0" w:oddHBand="0" w:evenHBand="0" w:firstRowFirstColumn="0" w:firstRowLastColumn="0" w:lastRowFirstColumn="0" w:lastRowLastColumn="0"/>
                <w:tblHeader/>
              </w:trPr>
              <w:tc>
                <w:tcPr>
                  <w:tcW w:w="2640" w:type="dxa"/>
                </w:tcPr>
                <w:p w14:paraId="518D6347" w14:textId="77777777" w:rsidR="00FD0189" w:rsidRDefault="00FD0189">
                  <w:pPr>
                    <w:pStyle w:val="Compact"/>
                  </w:pPr>
                </w:p>
              </w:tc>
              <w:tc>
                <w:tcPr>
                  <w:tcW w:w="2640" w:type="dxa"/>
                </w:tcPr>
                <w:p w14:paraId="38268305" w14:textId="77777777" w:rsidR="00FD0189" w:rsidRDefault="00000000">
                  <w:pPr>
                    <w:pStyle w:val="Compact"/>
                    <w:jc w:val="center"/>
                  </w:pPr>
                  <w:r>
                    <w:t>Time One</w:t>
                  </w:r>
                </w:p>
              </w:tc>
              <w:tc>
                <w:tcPr>
                  <w:tcW w:w="2640" w:type="dxa"/>
                </w:tcPr>
                <w:p w14:paraId="387D23B2" w14:textId="77777777" w:rsidR="00FD0189" w:rsidRDefault="00000000">
                  <w:pPr>
                    <w:pStyle w:val="Compact"/>
                    <w:jc w:val="center"/>
                  </w:pPr>
                  <w:r>
                    <w:t>Time Two</w:t>
                  </w:r>
                </w:p>
              </w:tc>
            </w:tr>
            <w:tr w:rsidR="00FD0189" w14:paraId="661229DF" w14:textId="77777777" w:rsidTr="007D0981">
              <w:tc>
                <w:tcPr>
                  <w:tcW w:w="2640" w:type="dxa"/>
                </w:tcPr>
                <w:p w14:paraId="2CCE39B2" w14:textId="77777777" w:rsidR="00FD0189" w:rsidRDefault="00000000">
                  <w:pPr>
                    <w:pStyle w:val="Compact"/>
                    <w:jc w:val="center"/>
                  </w:pPr>
                  <w:r>
                    <w:rPr>
                      <w:b/>
                      <w:bCs/>
                    </w:rPr>
                    <w:t xml:space="preserve">N. of </w:t>
                  </w:r>
                  <w:proofErr w:type="spellStart"/>
                  <w:r>
                    <w:rPr>
                      <w:b/>
                      <w:bCs/>
                    </w:rPr>
                    <w:t>asexuals</w:t>
                  </w:r>
                  <w:proofErr w:type="spellEnd"/>
                </w:p>
              </w:tc>
              <w:tc>
                <w:tcPr>
                  <w:tcW w:w="2640" w:type="dxa"/>
                </w:tcPr>
                <w:p w14:paraId="7E883BCD" w14:textId="77777777" w:rsidR="00FD0189" w:rsidRDefault="00000000">
                  <w:pPr>
                    <w:pStyle w:val="Compact"/>
                    <w:jc w:val="center"/>
                  </w:pPr>
                  <m:oMathPara>
                    <m:oMath>
                      <m:sSub>
                        <m:sSubPr>
                          <m:ctrlPr>
                            <w:rPr>
                              <w:rFonts w:ascii="Latin Modern Math" w:hAnsi="Latin Modern Math"/>
                            </w:rPr>
                          </m:ctrlPr>
                        </m:sSubPr>
                        <m:e>
                          <m:r>
                            <w:rPr>
                              <w:rFonts w:ascii="Latin Modern Math" w:hAnsi="Latin Modern Math"/>
                            </w:rPr>
                            <m:t>N</m:t>
                          </m:r>
                        </m:e>
                        <m:sub>
                          <m:r>
                            <w:rPr>
                              <w:rFonts w:ascii="Latin Modern Math" w:hAnsi="Latin Modern Math"/>
                            </w:rPr>
                            <m:t>asex</m:t>
                          </m:r>
                        </m:sub>
                      </m:sSub>
                    </m:oMath>
                  </m:oMathPara>
                </w:p>
              </w:tc>
              <w:tc>
                <w:tcPr>
                  <w:tcW w:w="2640" w:type="dxa"/>
                </w:tcPr>
                <w:p w14:paraId="4B6B1504" w14:textId="77777777" w:rsidR="00FD0189" w:rsidRDefault="00000000">
                  <w:pPr>
                    <w:pStyle w:val="Compact"/>
                    <w:jc w:val="center"/>
                  </w:pPr>
                  <m:oMathPara>
                    <m:oMath>
                      <m:sSub>
                        <m:sSubPr>
                          <m:ctrlPr>
                            <w:rPr>
                              <w:rFonts w:ascii="Latin Modern Math" w:hAnsi="Latin Modern Math"/>
                            </w:rPr>
                          </m:ctrlPr>
                        </m:sSubPr>
                        <m:e>
                          <m:r>
                            <w:rPr>
                              <w:rFonts w:ascii="Latin Modern Math" w:hAnsi="Latin Modern Math"/>
                            </w:rPr>
                            <m:t>N</m:t>
                          </m:r>
                        </m:e>
                        <m:sub>
                          <m:r>
                            <w:rPr>
                              <w:rFonts w:ascii="Latin Modern Math" w:hAnsi="Latin Modern Math"/>
                            </w:rPr>
                            <m:t>asex</m:t>
                          </m:r>
                        </m:sub>
                      </m:sSub>
                      <m:d>
                        <m:dPr>
                          <m:ctrlPr>
                            <w:rPr>
                              <w:rFonts w:ascii="Latin Modern Math" w:hAnsi="Latin Modern Math"/>
                            </w:rPr>
                          </m:ctrlPr>
                        </m:dPr>
                        <m:e>
                          <m:sSub>
                            <m:sSubPr>
                              <m:ctrlPr>
                                <w:rPr>
                                  <w:rFonts w:ascii="Latin Modern Math" w:hAnsi="Latin Modern Math"/>
                                </w:rPr>
                              </m:ctrlPr>
                            </m:sSubPr>
                            <m:e>
                              <m:r>
                                <w:rPr>
                                  <w:rFonts w:ascii="Latin Modern Math" w:hAnsi="Latin Modern Math"/>
                                </w:rPr>
                                <m:t>S</m:t>
                              </m:r>
                            </m:e>
                            <m:sub>
                              <m:r>
                                <w:rPr>
                                  <w:rFonts w:ascii="Latin Modern Math" w:hAnsi="Latin Modern Math"/>
                                </w:rPr>
                                <m:t>asex</m:t>
                              </m:r>
                            </m:sub>
                          </m:sSub>
                          <m:sSub>
                            <m:sSubPr>
                              <m:ctrlPr>
                                <w:rPr>
                                  <w:rFonts w:ascii="Latin Modern Math" w:hAnsi="Latin Modern Math"/>
                                </w:rPr>
                              </m:ctrlPr>
                            </m:sSubPr>
                            <m:e>
                              <m:r>
                                <w:rPr>
                                  <w:rFonts w:ascii="Latin Modern Math" w:hAnsi="Latin Modern Math"/>
                                </w:rPr>
                                <m:t>B</m:t>
                              </m:r>
                            </m:e>
                            <m:sub>
                              <m:r>
                                <w:rPr>
                                  <w:rFonts w:ascii="Latin Modern Math" w:hAnsi="Latin Modern Math"/>
                                </w:rPr>
                                <m:t>asex</m:t>
                              </m:r>
                            </m:sub>
                          </m:sSub>
                        </m:e>
                      </m:d>
                    </m:oMath>
                  </m:oMathPara>
                </w:p>
              </w:tc>
            </w:tr>
            <w:tr w:rsidR="00FD0189" w14:paraId="67135732" w14:textId="77777777" w:rsidTr="007D0981">
              <w:tc>
                <w:tcPr>
                  <w:tcW w:w="2640" w:type="dxa"/>
                </w:tcPr>
                <w:p w14:paraId="61DD2DAC" w14:textId="77777777" w:rsidR="00FD0189" w:rsidRDefault="00000000">
                  <w:pPr>
                    <w:pStyle w:val="Compact"/>
                    <w:jc w:val="center"/>
                  </w:pPr>
                  <w:r>
                    <w:rPr>
                      <w:b/>
                      <w:bCs/>
                    </w:rPr>
                    <w:t xml:space="preserve">N. of </w:t>
                  </w:r>
                  <w:proofErr w:type="spellStart"/>
                  <w:r>
                    <w:rPr>
                      <w:b/>
                      <w:bCs/>
                    </w:rPr>
                    <w:t>sexuals</w:t>
                  </w:r>
                  <w:proofErr w:type="spellEnd"/>
                </w:p>
              </w:tc>
              <w:tc>
                <w:tcPr>
                  <w:tcW w:w="2640" w:type="dxa"/>
                </w:tcPr>
                <w:p w14:paraId="7D2DFB45" w14:textId="77777777" w:rsidR="00FD0189" w:rsidRDefault="00000000">
                  <w:pPr>
                    <w:pStyle w:val="Compact"/>
                    <w:jc w:val="center"/>
                  </w:pPr>
                  <m:oMathPara>
                    <m:oMath>
                      <m:sSub>
                        <m:sSubPr>
                          <m:ctrlPr>
                            <w:rPr>
                              <w:rFonts w:ascii="Latin Modern Math" w:hAnsi="Latin Modern Math"/>
                            </w:rPr>
                          </m:ctrlPr>
                        </m:sSubPr>
                        <m:e>
                          <m:r>
                            <w:rPr>
                              <w:rFonts w:ascii="Latin Modern Math" w:hAnsi="Latin Modern Math"/>
                            </w:rPr>
                            <m:t>N</m:t>
                          </m:r>
                        </m:e>
                        <m:sub>
                          <m:r>
                            <w:rPr>
                              <w:rFonts w:ascii="Latin Modern Math" w:hAnsi="Latin Modern Math"/>
                            </w:rPr>
                            <m:t>sex</m:t>
                          </m:r>
                        </m:sub>
                      </m:sSub>
                    </m:oMath>
                  </m:oMathPara>
                </w:p>
              </w:tc>
              <w:tc>
                <w:tcPr>
                  <w:tcW w:w="2640" w:type="dxa"/>
                </w:tcPr>
                <w:p w14:paraId="680D7376" w14:textId="77777777" w:rsidR="00FD0189" w:rsidRDefault="00000000">
                  <w:pPr>
                    <w:pStyle w:val="Compact"/>
                    <w:jc w:val="center"/>
                  </w:pPr>
                  <m:oMathPara>
                    <m:oMath>
                      <m:r>
                        <w:rPr>
                          <w:rFonts w:ascii="Latin Modern Math" w:hAnsi="Latin Modern Math"/>
                        </w:rPr>
                        <m:t>r</m:t>
                      </m:r>
                      <m:sSub>
                        <m:sSubPr>
                          <m:ctrlPr>
                            <w:rPr>
                              <w:rFonts w:ascii="Latin Modern Math" w:hAnsi="Latin Modern Math"/>
                            </w:rPr>
                          </m:ctrlPr>
                        </m:sSubPr>
                        <m:e>
                          <m:r>
                            <w:rPr>
                              <w:rFonts w:ascii="Latin Modern Math" w:hAnsi="Latin Modern Math"/>
                            </w:rPr>
                            <m:t>N</m:t>
                          </m:r>
                        </m:e>
                        <m:sub>
                          <m:r>
                            <w:rPr>
                              <w:rFonts w:ascii="Latin Modern Math" w:hAnsi="Latin Modern Math"/>
                            </w:rPr>
                            <m:t>sex</m:t>
                          </m:r>
                        </m:sub>
                      </m:sSub>
                      <m:d>
                        <m:dPr>
                          <m:ctrlPr>
                            <w:rPr>
                              <w:rFonts w:ascii="Latin Modern Math" w:hAnsi="Latin Modern Math"/>
                            </w:rPr>
                          </m:ctrlPr>
                        </m:dPr>
                        <m:e>
                          <m:sSub>
                            <m:sSubPr>
                              <m:ctrlPr>
                                <w:rPr>
                                  <w:rFonts w:ascii="Latin Modern Math" w:hAnsi="Latin Modern Math"/>
                                </w:rPr>
                              </m:ctrlPr>
                            </m:sSubPr>
                            <m:e>
                              <m:r>
                                <w:rPr>
                                  <w:rFonts w:ascii="Latin Modern Math" w:hAnsi="Latin Modern Math"/>
                                </w:rPr>
                                <m:t>S</m:t>
                              </m:r>
                            </m:e>
                            <m:sub>
                              <m:r>
                                <w:rPr>
                                  <w:rFonts w:ascii="Latin Modern Math" w:hAnsi="Latin Modern Math"/>
                                </w:rPr>
                                <m:t>sex</m:t>
                              </m:r>
                            </m:sub>
                          </m:sSub>
                          <m:sSub>
                            <m:sSubPr>
                              <m:ctrlPr>
                                <w:rPr>
                                  <w:rFonts w:ascii="Latin Modern Math" w:hAnsi="Latin Modern Math"/>
                                </w:rPr>
                              </m:ctrlPr>
                            </m:sSubPr>
                            <m:e>
                              <m:r>
                                <w:rPr>
                                  <w:rFonts w:ascii="Latin Modern Math" w:hAnsi="Latin Modern Math"/>
                                </w:rPr>
                                <m:t>B</m:t>
                              </m:r>
                            </m:e>
                            <m:sub>
                              <m:r>
                                <w:rPr>
                                  <w:rFonts w:ascii="Latin Modern Math" w:hAnsi="Latin Modern Math"/>
                                </w:rPr>
                                <m:t>sex</m:t>
                              </m:r>
                            </m:sub>
                          </m:sSub>
                        </m:e>
                      </m:d>
                    </m:oMath>
                  </m:oMathPara>
                </w:p>
              </w:tc>
            </w:tr>
            <w:tr w:rsidR="00FD0189" w14:paraId="6C21353C" w14:textId="77777777" w:rsidTr="007D0981">
              <w:tc>
                <w:tcPr>
                  <w:tcW w:w="2640" w:type="dxa"/>
                </w:tcPr>
                <w:p w14:paraId="6C05177E" w14:textId="77777777" w:rsidR="00FD0189" w:rsidRDefault="00000000">
                  <w:pPr>
                    <w:pStyle w:val="Compact"/>
                    <w:jc w:val="center"/>
                  </w:pPr>
                  <w:r>
                    <w:rPr>
                      <w:b/>
                      <w:bCs/>
                    </w:rPr>
                    <w:t xml:space="preserve">Freq. of </w:t>
                  </w:r>
                  <w:proofErr w:type="spellStart"/>
                  <w:r>
                    <w:rPr>
                      <w:b/>
                      <w:bCs/>
                    </w:rPr>
                    <w:t>asexuals</w:t>
                  </w:r>
                  <w:proofErr w:type="spellEnd"/>
                </w:p>
              </w:tc>
              <w:tc>
                <w:tcPr>
                  <w:tcW w:w="2640" w:type="dxa"/>
                </w:tcPr>
                <w:p w14:paraId="1A63200E" w14:textId="77777777" w:rsidR="00FD0189" w:rsidRDefault="00000000">
                  <w:pPr>
                    <w:pStyle w:val="Compact"/>
                    <w:jc w:val="center"/>
                  </w:pPr>
                  <m:oMathPara>
                    <m:oMath>
                      <m:f>
                        <m:fPr>
                          <m:ctrlPr>
                            <w:rPr>
                              <w:rFonts w:ascii="Latin Modern Math" w:hAnsi="Latin Modern Math"/>
                            </w:rPr>
                          </m:ctrlPr>
                        </m:fPr>
                        <m:num>
                          <m:sSub>
                            <m:sSubPr>
                              <m:ctrlPr>
                                <w:rPr>
                                  <w:rFonts w:ascii="Latin Modern Math" w:hAnsi="Latin Modern Math"/>
                                </w:rPr>
                              </m:ctrlPr>
                            </m:sSubPr>
                            <m:e>
                              <m:r>
                                <w:rPr>
                                  <w:rFonts w:ascii="Latin Modern Math" w:hAnsi="Latin Modern Math"/>
                                </w:rPr>
                                <m:t>N</m:t>
                              </m:r>
                            </m:e>
                            <m:sub>
                              <m:r>
                                <w:rPr>
                                  <w:rFonts w:ascii="Latin Modern Math" w:hAnsi="Latin Modern Math"/>
                                </w:rPr>
                                <m:t>asex</m:t>
                              </m:r>
                            </m:sub>
                          </m:sSub>
                        </m:num>
                        <m:den>
                          <m:sSub>
                            <m:sSubPr>
                              <m:ctrlPr>
                                <w:rPr>
                                  <w:rFonts w:ascii="Latin Modern Math" w:hAnsi="Latin Modern Math"/>
                                </w:rPr>
                              </m:ctrlPr>
                            </m:sSubPr>
                            <m:e>
                              <m:r>
                                <w:rPr>
                                  <w:rFonts w:ascii="Latin Modern Math" w:hAnsi="Latin Modern Math"/>
                                </w:rPr>
                                <m:t>N</m:t>
                              </m:r>
                            </m:e>
                            <m:sub>
                              <m:r>
                                <w:rPr>
                                  <w:rFonts w:ascii="Latin Modern Math" w:hAnsi="Latin Modern Math"/>
                                </w:rPr>
                                <m:t>asex</m:t>
                              </m:r>
                            </m:sub>
                          </m:sSub>
                          <m:r>
                            <m:rPr>
                              <m:sty m:val="p"/>
                            </m:rPr>
                            <w:rPr>
                              <w:rFonts w:ascii="Latin Modern Math" w:hAnsi="Latin Modern Math"/>
                            </w:rPr>
                            <m:t>+</m:t>
                          </m:r>
                          <m:sSub>
                            <m:sSubPr>
                              <m:ctrlPr>
                                <w:rPr>
                                  <w:rFonts w:ascii="Latin Modern Math" w:hAnsi="Latin Modern Math"/>
                                </w:rPr>
                              </m:ctrlPr>
                            </m:sSubPr>
                            <m:e>
                              <m:r>
                                <w:rPr>
                                  <w:rFonts w:ascii="Latin Modern Math" w:hAnsi="Latin Modern Math"/>
                                </w:rPr>
                                <m:t>N</m:t>
                              </m:r>
                            </m:e>
                            <m:sub>
                              <m:r>
                                <w:rPr>
                                  <w:rFonts w:ascii="Latin Modern Math" w:hAnsi="Latin Modern Math"/>
                                </w:rPr>
                                <m:t>sex</m:t>
                              </m:r>
                            </m:sub>
                          </m:sSub>
                        </m:den>
                      </m:f>
                    </m:oMath>
                  </m:oMathPara>
                </w:p>
              </w:tc>
              <w:tc>
                <w:tcPr>
                  <w:tcW w:w="2640" w:type="dxa"/>
                </w:tcPr>
                <w:p w14:paraId="67D1867C" w14:textId="77777777" w:rsidR="00FD0189" w:rsidRDefault="00000000">
                  <w:pPr>
                    <w:pStyle w:val="Compact"/>
                    <w:jc w:val="center"/>
                  </w:pPr>
                  <m:oMathPara>
                    <m:oMath>
                      <m:f>
                        <m:fPr>
                          <m:ctrlPr>
                            <w:rPr>
                              <w:rFonts w:ascii="Latin Modern Math" w:hAnsi="Latin Modern Math"/>
                            </w:rPr>
                          </m:ctrlPr>
                        </m:fPr>
                        <m:num>
                          <m:sSub>
                            <m:sSubPr>
                              <m:ctrlPr>
                                <w:rPr>
                                  <w:rFonts w:ascii="Latin Modern Math" w:hAnsi="Latin Modern Math"/>
                                </w:rPr>
                              </m:ctrlPr>
                            </m:sSubPr>
                            <m:e>
                              <m:r>
                                <w:rPr>
                                  <w:rFonts w:ascii="Latin Modern Math" w:hAnsi="Latin Modern Math"/>
                                </w:rPr>
                                <m:t>N</m:t>
                              </m:r>
                            </m:e>
                            <m:sub>
                              <m:r>
                                <w:rPr>
                                  <w:rFonts w:ascii="Latin Modern Math" w:hAnsi="Latin Modern Math"/>
                                </w:rPr>
                                <m:t>asex</m:t>
                              </m:r>
                            </m:sub>
                          </m:sSub>
                          <m:d>
                            <m:dPr>
                              <m:ctrlPr>
                                <w:rPr>
                                  <w:rFonts w:ascii="Latin Modern Math" w:hAnsi="Latin Modern Math"/>
                                </w:rPr>
                              </m:ctrlPr>
                            </m:dPr>
                            <m:e>
                              <m:sSub>
                                <m:sSubPr>
                                  <m:ctrlPr>
                                    <w:rPr>
                                      <w:rFonts w:ascii="Latin Modern Math" w:hAnsi="Latin Modern Math"/>
                                    </w:rPr>
                                  </m:ctrlPr>
                                </m:sSubPr>
                                <m:e>
                                  <m:r>
                                    <w:rPr>
                                      <w:rFonts w:ascii="Latin Modern Math" w:hAnsi="Latin Modern Math"/>
                                    </w:rPr>
                                    <m:t>S</m:t>
                                  </m:r>
                                </m:e>
                                <m:sub>
                                  <m:r>
                                    <w:rPr>
                                      <w:rFonts w:ascii="Latin Modern Math" w:hAnsi="Latin Modern Math"/>
                                    </w:rPr>
                                    <m:t>asex</m:t>
                                  </m:r>
                                </m:sub>
                              </m:sSub>
                              <m:sSub>
                                <m:sSubPr>
                                  <m:ctrlPr>
                                    <w:rPr>
                                      <w:rFonts w:ascii="Latin Modern Math" w:hAnsi="Latin Modern Math"/>
                                    </w:rPr>
                                  </m:ctrlPr>
                                </m:sSubPr>
                                <m:e>
                                  <m:r>
                                    <w:rPr>
                                      <w:rFonts w:ascii="Latin Modern Math" w:hAnsi="Latin Modern Math"/>
                                    </w:rPr>
                                    <m:t>B</m:t>
                                  </m:r>
                                </m:e>
                                <m:sub>
                                  <m:r>
                                    <w:rPr>
                                      <w:rFonts w:ascii="Latin Modern Math" w:hAnsi="Latin Modern Math"/>
                                    </w:rPr>
                                    <m:t>asex</m:t>
                                  </m:r>
                                </m:sub>
                              </m:sSub>
                            </m:e>
                          </m:d>
                        </m:num>
                        <m:den>
                          <m:sSub>
                            <m:sSubPr>
                              <m:ctrlPr>
                                <w:rPr>
                                  <w:rFonts w:ascii="Latin Modern Math" w:hAnsi="Latin Modern Math"/>
                                </w:rPr>
                              </m:ctrlPr>
                            </m:sSubPr>
                            <m:e>
                              <m:r>
                                <w:rPr>
                                  <w:rFonts w:ascii="Latin Modern Math" w:hAnsi="Latin Modern Math"/>
                                </w:rPr>
                                <m:t>N</m:t>
                              </m:r>
                            </m:e>
                            <m:sub>
                              <m:r>
                                <w:rPr>
                                  <w:rFonts w:ascii="Latin Modern Math" w:hAnsi="Latin Modern Math"/>
                                </w:rPr>
                                <m:t>asex</m:t>
                              </m:r>
                            </m:sub>
                          </m:sSub>
                          <m:d>
                            <m:dPr>
                              <m:ctrlPr>
                                <w:rPr>
                                  <w:rFonts w:ascii="Latin Modern Math" w:hAnsi="Latin Modern Math"/>
                                </w:rPr>
                              </m:ctrlPr>
                            </m:dPr>
                            <m:e>
                              <m:sSub>
                                <m:sSubPr>
                                  <m:ctrlPr>
                                    <w:rPr>
                                      <w:rFonts w:ascii="Latin Modern Math" w:hAnsi="Latin Modern Math"/>
                                    </w:rPr>
                                  </m:ctrlPr>
                                </m:sSubPr>
                                <m:e>
                                  <m:r>
                                    <w:rPr>
                                      <w:rFonts w:ascii="Latin Modern Math" w:hAnsi="Latin Modern Math"/>
                                    </w:rPr>
                                    <m:t>S</m:t>
                                  </m:r>
                                </m:e>
                                <m:sub>
                                  <m:r>
                                    <w:rPr>
                                      <w:rFonts w:ascii="Latin Modern Math" w:hAnsi="Latin Modern Math"/>
                                    </w:rPr>
                                    <m:t>asex</m:t>
                                  </m:r>
                                </m:sub>
                              </m:sSub>
                              <m:sSub>
                                <m:sSubPr>
                                  <m:ctrlPr>
                                    <w:rPr>
                                      <w:rFonts w:ascii="Latin Modern Math" w:hAnsi="Latin Modern Math"/>
                                    </w:rPr>
                                  </m:ctrlPr>
                                </m:sSubPr>
                                <m:e>
                                  <m:r>
                                    <w:rPr>
                                      <w:rFonts w:ascii="Latin Modern Math" w:hAnsi="Latin Modern Math"/>
                                    </w:rPr>
                                    <m:t>B</m:t>
                                  </m:r>
                                </m:e>
                                <m:sub>
                                  <m:r>
                                    <w:rPr>
                                      <w:rFonts w:ascii="Latin Modern Math" w:hAnsi="Latin Modern Math"/>
                                    </w:rPr>
                                    <m:t>asex</m:t>
                                  </m:r>
                                </m:sub>
                              </m:sSub>
                            </m:e>
                          </m:d>
                          <m:r>
                            <m:rPr>
                              <m:sty m:val="p"/>
                            </m:rPr>
                            <w:rPr>
                              <w:rFonts w:ascii="Latin Modern Math" w:hAnsi="Latin Modern Math"/>
                            </w:rPr>
                            <m:t>+</m:t>
                          </m:r>
                          <m:r>
                            <w:rPr>
                              <w:rFonts w:ascii="Latin Modern Math" w:hAnsi="Latin Modern Math"/>
                            </w:rPr>
                            <m:t>r</m:t>
                          </m:r>
                          <m:sSub>
                            <m:sSubPr>
                              <m:ctrlPr>
                                <w:rPr>
                                  <w:rFonts w:ascii="Latin Modern Math" w:hAnsi="Latin Modern Math"/>
                                </w:rPr>
                              </m:ctrlPr>
                            </m:sSubPr>
                            <m:e>
                              <m:r>
                                <w:rPr>
                                  <w:rFonts w:ascii="Latin Modern Math" w:hAnsi="Latin Modern Math"/>
                                </w:rPr>
                                <m:t>N</m:t>
                              </m:r>
                            </m:e>
                            <m:sub>
                              <m:r>
                                <w:rPr>
                                  <w:rFonts w:ascii="Latin Modern Math" w:hAnsi="Latin Modern Math"/>
                                </w:rPr>
                                <m:t>sex</m:t>
                              </m:r>
                            </m:sub>
                          </m:sSub>
                          <m:d>
                            <m:dPr>
                              <m:ctrlPr>
                                <w:rPr>
                                  <w:rFonts w:ascii="Latin Modern Math" w:hAnsi="Latin Modern Math"/>
                                </w:rPr>
                              </m:ctrlPr>
                            </m:dPr>
                            <m:e>
                              <m:sSub>
                                <m:sSubPr>
                                  <m:ctrlPr>
                                    <w:rPr>
                                      <w:rFonts w:ascii="Latin Modern Math" w:hAnsi="Latin Modern Math"/>
                                    </w:rPr>
                                  </m:ctrlPr>
                                </m:sSubPr>
                                <m:e>
                                  <m:r>
                                    <w:rPr>
                                      <w:rFonts w:ascii="Latin Modern Math" w:hAnsi="Latin Modern Math"/>
                                    </w:rPr>
                                    <m:t>S</m:t>
                                  </m:r>
                                </m:e>
                                <m:sub>
                                  <m:r>
                                    <w:rPr>
                                      <w:rFonts w:ascii="Latin Modern Math" w:hAnsi="Latin Modern Math"/>
                                    </w:rPr>
                                    <m:t>sex</m:t>
                                  </m:r>
                                </m:sub>
                              </m:sSub>
                              <m:sSub>
                                <m:sSubPr>
                                  <m:ctrlPr>
                                    <w:rPr>
                                      <w:rFonts w:ascii="Latin Modern Math" w:hAnsi="Latin Modern Math"/>
                                    </w:rPr>
                                  </m:ctrlPr>
                                </m:sSubPr>
                                <m:e>
                                  <m:r>
                                    <w:rPr>
                                      <w:rFonts w:ascii="Latin Modern Math" w:hAnsi="Latin Modern Math"/>
                                    </w:rPr>
                                    <m:t>B</m:t>
                                  </m:r>
                                </m:e>
                                <m:sub>
                                  <m:r>
                                    <w:rPr>
                                      <w:rFonts w:ascii="Latin Modern Math" w:hAnsi="Latin Modern Math"/>
                                    </w:rPr>
                                    <m:t>sex</m:t>
                                  </m:r>
                                </m:sub>
                              </m:sSub>
                            </m:e>
                          </m:d>
                        </m:den>
                      </m:f>
                    </m:oMath>
                  </m:oMathPara>
                </w:p>
              </w:tc>
            </w:tr>
            <w:bookmarkEnd w:id="35"/>
          </w:tbl>
          <w:p w14:paraId="5104381B" w14:textId="77777777" w:rsidR="00FD0189" w:rsidRDefault="00FD0189"/>
        </w:tc>
      </w:tr>
    </w:tbl>
    <w:p w14:paraId="7461D5CD" w14:textId="77777777" w:rsidR="00FD0189" w:rsidRDefault="00000000">
      <w:pPr>
        <w:pStyle w:val="BodyText"/>
      </w:pPr>
      <w:r>
        <w:t xml:space="preserve">The fold increase in frequency of </w:t>
      </w:r>
      <w:proofErr w:type="spellStart"/>
      <w:r>
        <w:t>asexuals</w:t>
      </w:r>
      <w:proofErr w:type="spellEnd"/>
      <w:r>
        <w:t xml:space="preserve">, </w:t>
      </w:r>
      <m:oMath>
        <m:r>
          <w:rPr>
            <w:rFonts w:ascii="Latin Modern Math" w:hAnsi="Latin Modern Math"/>
          </w:rPr>
          <m:t>F</m:t>
        </m:r>
      </m:oMath>
      <w:r>
        <w:t>, is the ratio of the frequency of asexuals at time two divided by the frequency of asexuals at time one giving</w:t>
      </w:r>
    </w:p>
    <w:p w14:paraId="68540DD6" w14:textId="77777777" w:rsidR="00FD0189" w:rsidRDefault="00000000">
      <w:pPr>
        <w:pStyle w:val="BodyText"/>
      </w:pPr>
      <m:oMathPara>
        <m:oMathParaPr>
          <m:jc m:val="center"/>
        </m:oMathParaPr>
        <m:oMath>
          <m:r>
            <w:rPr>
              <w:rFonts w:ascii="Latin Modern Math" w:hAnsi="Latin Modern Math"/>
            </w:rPr>
            <m:t>F</m:t>
          </m:r>
          <m:r>
            <m:rPr>
              <m:sty m:val="p"/>
            </m:rPr>
            <w:rPr>
              <w:rFonts w:ascii="Latin Modern Math" w:hAnsi="Latin Modern Math"/>
            </w:rPr>
            <m:t>=</m:t>
          </m:r>
          <m:f>
            <m:fPr>
              <m:ctrlPr>
                <w:rPr>
                  <w:rFonts w:ascii="Latin Modern Math" w:hAnsi="Latin Modern Math"/>
                </w:rPr>
              </m:ctrlPr>
            </m:fPr>
            <m:num>
              <m:sSub>
                <m:sSubPr>
                  <m:ctrlPr>
                    <w:rPr>
                      <w:rFonts w:ascii="Latin Modern Math" w:hAnsi="Latin Modern Math"/>
                    </w:rPr>
                  </m:ctrlPr>
                </m:sSubPr>
                <m:e>
                  <m:r>
                    <w:rPr>
                      <w:rFonts w:ascii="Latin Modern Math" w:hAnsi="Latin Modern Math"/>
                    </w:rPr>
                    <m:t>N</m:t>
                  </m:r>
                </m:e>
                <m:sub>
                  <m:r>
                    <w:rPr>
                      <w:rFonts w:ascii="Latin Modern Math" w:hAnsi="Latin Modern Math"/>
                    </w:rPr>
                    <m:t>asex</m:t>
                  </m:r>
                </m:sub>
              </m:sSub>
              <m:d>
                <m:dPr>
                  <m:ctrlPr>
                    <w:rPr>
                      <w:rFonts w:ascii="Latin Modern Math" w:hAnsi="Latin Modern Math"/>
                    </w:rPr>
                  </m:ctrlPr>
                </m:dPr>
                <m:e>
                  <m:sSub>
                    <m:sSubPr>
                      <m:ctrlPr>
                        <w:rPr>
                          <w:rFonts w:ascii="Latin Modern Math" w:hAnsi="Latin Modern Math"/>
                        </w:rPr>
                      </m:ctrlPr>
                    </m:sSubPr>
                    <m:e>
                      <m:r>
                        <w:rPr>
                          <w:rFonts w:ascii="Latin Modern Math" w:hAnsi="Latin Modern Math"/>
                        </w:rPr>
                        <m:t>S</m:t>
                      </m:r>
                    </m:e>
                    <m:sub>
                      <m:r>
                        <w:rPr>
                          <w:rFonts w:ascii="Latin Modern Math" w:hAnsi="Latin Modern Math"/>
                        </w:rPr>
                        <m:t>asex</m:t>
                      </m:r>
                    </m:sub>
                  </m:sSub>
                  <m:sSub>
                    <m:sSubPr>
                      <m:ctrlPr>
                        <w:rPr>
                          <w:rFonts w:ascii="Latin Modern Math" w:hAnsi="Latin Modern Math"/>
                        </w:rPr>
                      </m:ctrlPr>
                    </m:sSubPr>
                    <m:e>
                      <m:r>
                        <w:rPr>
                          <w:rFonts w:ascii="Latin Modern Math" w:hAnsi="Latin Modern Math"/>
                        </w:rPr>
                        <m:t>B</m:t>
                      </m:r>
                    </m:e>
                    <m:sub>
                      <m:r>
                        <w:rPr>
                          <w:rFonts w:ascii="Latin Modern Math" w:hAnsi="Latin Modern Math"/>
                        </w:rPr>
                        <m:t>asex</m:t>
                      </m:r>
                    </m:sub>
                  </m:sSub>
                </m:e>
              </m:d>
            </m:num>
            <m:den>
              <m:sSub>
                <m:sSubPr>
                  <m:ctrlPr>
                    <w:rPr>
                      <w:rFonts w:ascii="Latin Modern Math" w:hAnsi="Latin Modern Math"/>
                    </w:rPr>
                  </m:ctrlPr>
                </m:sSubPr>
                <m:e>
                  <m:r>
                    <w:rPr>
                      <w:rFonts w:ascii="Latin Modern Math" w:hAnsi="Latin Modern Math"/>
                    </w:rPr>
                    <m:t>N</m:t>
                  </m:r>
                </m:e>
                <m:sub>
                  <m:r>
                    <w:rPr>
                      <w:rFonts w:ascii="Latin Modern Math" w:hAnsi="Latin Modern Math"/>
                    </w:rPr>
                    <m:t>asex</m:t>
                  </m:r>
                </m:sub>
              </m:sSub>
              <m:d>
                <m:dPr>
                  <m:ctrlPr>
                    <w:rPr>
                      <w:rFonts w:ascii="Latin Modern Math" w:hAnsi="Latin Modern Math"/>
                    </w:rPr>
                  </m:ctrlPr>
                </m:dPr>
                <m:e>
                  <m:sSub>
                    <m:sSubPr>
                      <m:ctrlPr>
                        <w:rPr>
                          <w:rFonts w:ascii="Latin Modern Math" w:hAnsi="Latin Modern Math"/>
                        </w:rPr>
                      </m:ctrlPr>
                    </m:sSubPr>
                    <m:e>
                      <m:r>
                        <w:rPr>
                          <w:rFonts w:ascii="Latin Modern Math" w:hAnsi="Latin Modern Math"/>
                        </w:rPr>
                        <m:t>S</m:t>
                      </m:r>
                    </m:e>
                    <m:sub>
                      <m:r>
                        <w:rPr>
                          <w:rFonts w:ascii="Latin Modern Math" w:hAnsi="Latin Modern Math"/>
                        </w:rPr>
                        <m:t>asex</m:t>
                      </m:r>
                    </m:sub>
                  </m:sSub>
                  <m:sSub>
                    <m:sSubPr>
                      <m:ctrlPr>
                        <w:rPr>
                          <w:rFonts w:ascii="Latin Modern Math" w:hAnsi="Latin Modern Math"/>
                        </w:rPr>
                      </m:ctrlPr>
                    </m:sSubPr>
                    <m:e>
                      <m:r>
                        <w:rPr>
                          <w:rFonts w:ascii="Latin Modern Math" w:hAnsi="Latin Modern Math"/>
                        </w:rPr>
                        <m:t>B</m:t>
                      </m:r>
                    </m:e>
                    <m:sub>
                      <m:r>
                        <w:rPr>
                          <w:rFonts w:ascii="Latin Modern Math" w:hAnsi="Latin Modern Math"/>
                        </w:rPr>
                        <m:t>asex</m:t>
                      </m:r>
                    </m:sub>
                  </m:sSub>
                </m:e>
              </m:d>
              <m:r>
                <m:rPr>
                  <m:sty m:val="p"/>
                </m:rPr>
                <w:rPr>
                  <w:rFonts w:ascii="Latin Modern Math" w:hAnsi="Latin Modern Math"/>
                </w:rPr>
                <m:t>+</m:t>
              </m:r>
              <m:r>
                <w:rPr>
                  <w:rFonts w:ascii="Latin Modern Math" w:hAnsi="Latin Modern Math"/>
                </w:rPr>
                <m:t>r</m:t>
              </m:r>
              <m:d>
                <m:dPr>
                  <m:ctrlPr>
                    <w:rPr>
                      <w:rFonts w:ascii="Latin Modern Math" w:hAnsi="Latin Modern Math"/>
                    </w:rPr>
                  </m:ctrlPr>
                </m:dPr>
                <m:e>
                  <m:sSub>
                    <m:sSubPr>
                      <m:ctrlPr>
                        <w:rPr>
                          <w:rFonts w:ascii="Latin Modern Math" w:hAnsi="Latin Modern Math"/>
                        </w:rPr>
                      </m:ctrlPr>
                    </m:sSubPr>
                    <m:e>
                      <m:r>
                        <w:rPr>
                          <w:rFonts w:ascii="Latin Modern Math" w:hAnsi="Latin Modern Math"/>
                        </w:rPr>
                        <m:t>N</m:t>
                      </m:r>
                    </m:e>
                    <m:sub>
                      <m:r>
                        <w:rPr>
                          <w:rFonts w:ascii="Latin Modern Math" w:hAnsi="Latin Modern Math"/>
                        </w:rPr>
                        <m:t>sex</m:t>
                      </m:r>
                    </m:sub>
                  </m:sSub>
                  <m:sSub>
                    <m:sSubPr>
                      <m:ctrlPr>
                        <w:rPr>
                          <w:rFonts w:ascii="Latin Modern Math" w:hAnsi="Latin Modern Math"/>
                        </w:rPr>
                      </m:ctrlPr>
                    </m:sSubPr>
                    <m:e>
                      <m:r>
                        <w:rPr>
                          <w:rFonts w:ascii="Latin Modern Math" w:hAnsi="Latin Modern Math"/>
                        </w:rPr>
                        <m:t>S</m:t>
                      </m:r>
                    </m:e>
                    <m:sub>
                      <m:r>
                        <w:rPr>
                          <w:rFonts w:ascii="Latin Modern Math" w:hAnsi="Latin Modern Math"/>
                        </w:rPr>
                        <m:t>sex</m:t>
                      </m:r>
                    </m:sub>
                  </m:sSub>
                  <m:sSub>
                    <m:sSubPr>
                      <m:ctrlPr>
                        <w:rPr>
                          <w:rFonts w:ascii="Latin Modern Math" w:hAnsi="Latin Modern Math"/>
                        </w:rPr>
                      </m:ctrlPr>
                    </m:sSubPr>
                    <m:e>
                      <m:r>
                        <w:rPr>
                          <w:rFonts w:ascii="Latin Modern Math" w:hAnsi="Latin Modern Math"/>
                        </w:rPr>
                        <m:t>B</m:t>
                      </m:r>
                    </m:e>
                    <m:sub>
                      <m:r>
                        <w:rPr>
                          <w:rFonts w:ascii="Latin Modern Math" w:hAnsi="Latin Modern Math"/>
                        </w:rPr>
                        <m:t>sex</m:t>
                      </m:r>
                    </m:sub>
                  </m:sSub>
                </m:e>
              </m:d>
            </m:den>
          </m:f>
          <m:r>
            <m:rPr>
              <m:sty m:val="p"/>
            </m:rPr>
            <w:rPr>
              <w:rFonts w:ascii="Latin Modern Math" w:hAnsi="Latin Modern Math"/>
            </w:rPr>
            <m:t>/</m:t>
          </m:r>
          <m:f>
            <m:fPr>
              <m:ctrlPr>
                <w:rPr>
                  <w:rFonts w:ascii="Latin Modern Math" w:hAnsi="Latin Modern Math"/>
                </w:rPr>
              </m:ctrlPr>
            </m:fPr>
            <m:num>
              <m:sSub>
                <m:sSubPr>
                  <m:ctrlPr>
                    <w:rPr>
                      <w:rFonts w:ascii="Latin Modern Math" w:hAnsi="Latin Modern Math"/>
                    </w:rPr>
                  </m:ctrlPr>
                </m:sSubPr>
                <m:e>
                  <m:r>
                    <w:rPr>
                      <w:rFonts w:ascii="Latin Modern Math" w:hAnsi="Latin Modern Math"/>
                    </w:rPr>
                    <m:t>N</m:t>
                  </m:r>
                </m:e>
                <m:sub>
                  <m:r>
                    <w:rPr>
                      <w:rFonts w:ascii="Latin Modern Math" w:hAnsi="Latin Modern Math"/>
                    </w:rPr>
                    <m:t>asex</m:t>
                  </m:r>
                </m:sub>
              </m:sSub>
            </m:num>
            <m:den>
              <m:sSub>
                <m:sSubPr>
                  <m:ctrlPr>
                    <w:rPr>
                      <w:rFonts w:ascii="Latin Modern Math" w:hAnsi="Latin Modern Math"/>
                    </w:rPr>
                  </m:ctrlPr>
                </m:sSubPr>
                <m:e>
                  <m:r>
                    <w:rPr>
                      <w:rFonts w:ascii="Latin Modern Math" w:hAnsi="Latin Modern Math"/>
                    </w:rPr>
                    <m:t>N</m:t>
                  </m:r>
                </m:e>
                <m:sub>
                  <m:r>
                    <w:rPr>
                      <w:rFonts w:ascii="Latin Modern Math" w:hAnsi="Latin Modern Math"/>
                    </w:rPr>
                    <m:t>asex</m:t>
                  </m:r>
                </m:sub>
              </m:sSub>
              <m:r>
                <m:rPr>
                  <m:sty m:val="p"/>
                </m:rPr>
                <w:rPr>
                  <w:rFonts w:ascii="Latin Modern Math" w:hAnsi="Latin Modern Math"/>
                </w:rPr>
                <m:t>+</m:t>
              </m:r>
              <m:sSub>
                <m:sSubPr>
                  <m:ctrlPr>
                    <w:rPr>
                      <w:rFonts w:ascii="Latin Modern Math" w:hAnsi="Latin Modern Math"/>
                    </w:rPr>
                  </m:ctrlPr>
                </m:sSubPr>
                <m:e>
                  <m:r>
                    <w:rPr>
                      <w:rFonts w:ascii="Latin Modern Math" w:hAnsi="Latin Modern Math"/>
                    </w:rPr>
                    <m:t>N</m:t>
                  </m:r>
                </m:e>
                <m:sub>
                  <m:r>
                    <w:rPr>
                      <w:rFonts w:ascii="Latin Modern Math" w:hAnsi="Latin Modern Math"/>
                    </w:rPr>
                    <m:t>sex</m:t>
                  </m:r>
                </m:sub>
              </m:sSub>
            </m:den>
          </m:f>
          <m:r>
            <m:rPr>
              <m:sty m:val="p"/>
            </m:rPr>
            <w:rPr>
              <w:rFonts w:ascii="Latin Modern Math" w:hAnsi="Latin Modern Math"/>
            </w:rPr>
            <m:t>.</m:t>
          </m:r>
        </m:oMath>
      </m:oMathPara>
    </w:p>
    <w:p w14:paraId="7BA3A806" w14:textId="77777777" w:rsidR="00FD0189" w:rsidRDefault="00000000">
      <w:pPr>
        <w:pStyle w:val="FirstParagraph"/>
      </w:pPr>
      <w:r>
        <w:t xml:space="preserve">Under the all-else-equal assumption, </w:t>
      </w:r>
      <m:oMath>
        <m:sSub>
          <m:sSubPr>
            <m:ctrlPr>
              <w:rPr>
                <w:rFonts w:ascii="Latin Modern Math" w:hAnsi="Latin Modern Math"/>
              </w:rPr>
            </m:ctrlPr>
          </m:sSubPr>
          <m:e>
            <m:r>
              <w:rPr>
                <w:rFonts w:ascii="Latin Modern Math" w:hAnsi="Latin Modern Math"/>
              </w:rPr>
              <m:t>S</m:t>
            </m:r>
          </m:e>
          <m:sub>
            <m:r>
              <w:rPr>
                <w:rFonts w:ascii="Latin Modern Math" w:hAnsi="Latin Modern Math"/>
              </w:rPr>
              <m:t>asex</m:t>
            </m:r>
          </m:sub>
        </m:sSub>
        <m:r>
          <m:rPr>
            <m:sty m:val="p"/>
          </m:rPr>
          <w:rPr>
            <w:rFonts w:ascii="Latin Modern Math" w:hAnsi="Latin Modern Math"/>
          </w:rPr>
          <m:t>=</m:t>
        </m:r>
        <m:sSub>
          <m:sSubPr>
            <m:ctrlPr>
              <w:rPr>
                <w:rFonts w:ascii="Latin Modern Math" w:hAnsi="Latin Modern Math"/>
              </w:rPr>
            </m:ctrlPr>
          </m:sSubPr>
          <m:e>
            <m:r>
              <w:rPr>
                <w:rFonts w:ascii="Latin Modern Math" w:hAnsi="Latin Modern Math"/>
              </w:rPr>
              <m:t>S</m:t>
            </m:r>
          </m:e>
          <m:sub>
            <m:r>
              <w:rPr>
                <w:rFonts w:ascii="Latin Modern Math" w:hAnsi="Latin Modern Math"/>
              </w:rPr>
              <m:t>sex</m:t>
            </m:r>
          </m:sub>
        </m:sSub>
      </m:oMath>
      <w:r>
        <w:t xml:space="preserve"> and </w:t>
      </w:r>
      <m:oMath>
        <m:sSub>
          <m:sSubPr>
            <m:ctrlPr>
              <w:rPr>
                <w:rFonts w:ascii="Latin Modern Math" w:hAnsi="Latin Modern Math"/>
              </w:rPr>
            </m:ctrlPr>
          </m:sSubPr>
          <m:e>
            <m:r>
              <w:rPr>
                <w:rFonts w:ascii="Latin Modern Math" w:hAnsi="Latin Modern Math"/>
              </w:rPr>
              <m:t>B</m:t>
            </m:r>
          </m:e>
          <m:sub>
            <m:r>
              <w:rPr>
                <w:rFonts w:ascii="Latin Modern Math" w:hAnsi="Latin Modern Math"/>
              </w:rPr>
              <m:t>asex</m:t>
            </m:r>
          </m:sub>
        </m:sSub>
        <m:r>
          <m:rPr>
            <m:sty m:val="p"/>
          </m:rPr>
          <w:rPr>
            <w:rFonts w:ascii="Latin Modern Math" w:hAnsi="Latin Modern Math"/>
          </w:rPr>
          <m:t>=</m:t>
        </m:r>
        <m:sSub>
          <m:sSubPr>
            <m:ctrlPr>
              <w:rPr>
                <w:rFonts w:ascii="Latin Modern Math" w:hAnsi="Latin Modern Math"/>
              </w:rPr>
            </m:ctrlPr>
          </m:sSubPr>
          <m:e>
            <m:r>
              <w:rPr>
                <w:rFonts w:ascii="Latin Modern Math" w:hAnsi="Latin Modern Math"/>
              </w:rPr>
              <m:t>B</m:t>
            </m:r>
          </m:e>
          <m:sub>
            <m:r>
              <w:rPr>
                <w:rFonts w:ascii="Latin Modern Math" w:hAnsi="Latin Modern Math"/>
              </w:rPr>
              <m:t>sex</m:t>
            </m:r>
          </m:sub>
        </m:sSub>
      </m:oMath>
      <w:r>
        <w:t>, giving</w:t>
      </w:r>
    </w:p>
    <w:p w14:paraId="5071F3DA" w14:textId="77777777" w:rsidR="00FD0189" w:rsidRDefault="00000000">
      <w:pPr>
        <w:pStyle w:val="BodyText"/>
      </w:pPr>
      <m:oMathPara>
        <m:oMathParaPr>
          <m:jc m:val="center"/>
        </m:oMathParaPr>
        <m:oMath>
          <m:r>
            <w:rPr>
              <w:rFonts w:ascii="Latin Modern Math" w:hAnsi="Latin Modern Math"/>
            </w:rPr>
            <m:t>F</m:t>
          </m:r>
          <m:r>
            <m:rPr>
              <m:sty m:val="p"/>
            </m:rPr>
            <w:rPr>
              <w:rFonts w:ascii="Latin Modern Math" w:hAnsi="Latin Modern Math"/>
            </w:rPr>
            <m:t>=</m:t>
          </m:r>
          <m:f>
            <m:fPr>
              <m:ctrlPr>
                <w:rPr>
                  <w:rFonts w:ascii="Latin Modern Math" w:hAnsi="Latin Modern Math"/>
                </w:rPr>
              </m:ctrlPr>
            </m:fPr>
            <m:num>
              <m:sSub>
                <m:sSubPr>
                  <m:ctrlPr>
                    <w:rPr>
                      <w:rFonts w:ascii="Latin Modern Math" w:hAnsi="Latin Modern Math"/>
                    </w:rPr>
                  </m:ctrlPr>
                </m:sSubPr>
                <m:e>
                  <m:r>
                    <w:rPr>
                      <w:rFonts w:ascii="Latin Modern Math" w:hAnsi="Latin Modern Math"/>
                    </w:rPr>
                    <m:t>N</m:t>
                  </m:r>
                </m:e>
                <m:sub>
                  <m:r>
                    <w:rPr>
                      <w:rFonts w:ascii="Latin Modern Math" w:hAnsi="Latin Modern Math"/>
                    </w:rPr>
                    <m:t>asex</m:t>
                  </m:r>
                </m:sub>
              </m:sSub>
            </m:num>
            <m:den>
              <m:sSub>
                <m:sSubPr>
                  <m:ctrlPr>
                    <w:rPr>
                      <w:rFonts w:ascii="Latin Modern Math" w:hAnsi="Latin Modern Math"/>
                    </w:rPr>
                  </m:ctrlPr>
                </m:sSubPr>
                <m:e>
                  <m:r>
                    <w:rPr>
                      <w:rFonts w:ascii="Latin Modern Math" w:hAnsi="Latin Modern Math"/>
                    </w:rPr>
                    <m:t>N</m:t>
                  </m:r>
                </m:e>
                <m:sub>
                  <m:r>
                    <w:rPr>
                      <w:rFonts w:ascii="Latin Modern Math" w:hAnsi="Latin Modern Math"/>
                    </w:rPr>
                    <m:t>asex</m:t>
                  </m:r>
                </m:sub>
              </m:sSub>
              <m:r>
                <m:rPr>
                  <m:sty m:val="p"/>
                </m:rPr>
                <w:rPr>
                  <w:rFonts w:ascii="Latin Modern Math" w:hAnsi="Latin Modern Math"/>
                </w:rPr>
                <m:t>+</m:t>
              </m:r>
              <m:r>
                <w:rPr>
                  <w:rFonts w:ascii="Latin Modern Math" w:hAnsi="Latin Modern Math"/>
                </w:rPr>
                <m:t>r</m:t>
              </m:r>
              <m:sSub>
                <m:sSubPr>
                  <m:ctrlPr>
                    <w:rPr>
                      <w:rFonts w:ascii="Latin Modern Math" w:hAnsi="Latin Modern Math"/>
                    </w:rPr>
                  </m:ctrlPr>
                </m:sSubPr>
                <m:e>
                  <m:r>
                    <w:rPr>
                      <w:rFonts w:ascii="Latin Modern Math" w:hAnsi="Latin Modern Math"/>
                    </w:rPr>
                    <m:t>N</m:t>
                  </m:r>
                </m:e>
                <m:sub>
                  <m:r>
                    <w:rPr>
                      <w:rFonts w:ascii="Latin Modern Math" w:hAnsi="Latin Modern Math"/>
                    </w:rPr>
                    <m:t>sex</m:t>
                  </m:r>
                </m:sub>
              </m:sSub>
            </m:den>
          </m:f>
          <m:r>
            <m:rPr>
              <m:sty m:val="p"/>
            </m:rPr>
            <w:rPr>
              <w:rFonts w:ascii="Latin Modern Math" w:hAnsi="Latin Modern Math"/>
            </w:rPr>
            <m:t>/</m:t>
          </m:r>
          <m:f>
            <m:fPr>
              <m:ctrlPr>
                <w:rPr>
                  <w:rFonts w:ascii="Latin Modern Math" w:hAnsi="Latin Modern Math"/>
                </w:rPr>
              </m:ctrlPr>
            </m:fPr>
            <m:num>
              <m:sSub>
                <m:sSubPr>
                  <m:ctrlPr>
                    <w:rPr>
                      <w:rFonts w:ascii="Latin Modern Math" w:hAnsi="Latin Modern Math"/>
                    </w:rPr>
                  </m:ctrlPr>
                </m:sSubPr>
                <m:e>
                  <m:r>
                    <w:rPr>
                      <w:rFonts w:ascii="Latin Modern Math" w:hAnsi="Latin Modern Math"/>
                    </w:rPr>
                    <m:t>N</m:t>
                  </m:r>
                </m:e>
                <m:sub>
                  <m:r>
                    <w:rPr>
                      <w:rFonts w:ascii="Latin Modern Math" w:hAnsi="Latin Modern Math"/>
                    </w:rPr>
                    <m:t>asex</m:t>
                  </m:r>
                </m:sub>
              </m:sSub>
            </m:num>
            <m:den>
              <m:sSub>
                <m:sSubPr>
                  <m:ctrlPr>
                    <w:rPr>
                      <w:rFonts w:ascii="Latin Modern Math" w:hAnsi="Latin Modern Math"/>
                    </w:rPr>
                  </m:ctrlPr>
                </m:sSubPr>
                <m:e>
                  <m:r>
                    <w:rPr>
                      <w:rFonts w:ascii="Latin Modern Math" w:hAnsi="Latin Modern Math"/>
                    </w:rPr>
                    <m:t>N</m:t>
                  </m:r>
                </m:e>
                <m:sub>
                  <m:r>
                    <w:rPr>
                      <w:rFonts w:ascii="Latin Modern Math" w:hAnsi="Latin Modern Math"/>
                    </w:rPr>
                    <m:t>asex</m:t>
                  </m:r>
                </m:sub>
              </m:sSub>
              <m:r>
                <m:rPr>
                  <m:sty m:val="p"/>
                </m:rPr>
                <w:rPr>
                  <w:rFonts w:ascii="Latin Modern Math" w:hAnsi="Latin Modern Math"/>
                </w:rPr>
                <m:t>+</m:t>
              </m:r>
              <m:sSub>
                <m:sSubPr>
                  <m:ctrlPr>
                    <w:rPr>
                      <w:rFonts w:ascii="Latin Modern Math" w:hAnsi="Latin Modern Math"/>
                    </w:rPr>
                  </m:ctrlPr>
                </m:sSubPr>
                <m:e>
                  <m:r>
                    <w:rPr>
                      <w:rFonts w:ascii="Latin Modern Math" w:hAnsi="Latin Modern Math"/>
                    </w:rPr>
                    <m:t>N</m:t>
                  </m:r>
                </m:e>
                <m:sub>
                  <m:r>
                    <w:rPr>
                      <w:rFonts w:ascii="Latin Modern Math" w:hAnsi="Latin Modern Math"/>
                    </w:rPr>
                    <m:t>sex</m:t>
                  </m:r>
                </m:sub>
              </m:sSub>
            </m:den>
          </m:f>
          <m:r>
            <m:rPr>
              <m:sty m:val="p"/>
            </m:rPr>
            <w:rPr>
              <w:rFonts w:ascii="Latin Modern Math" w:hAnsi="Latin Modern Math"/>
            </w:rPr>
            <m:t>.</m:t>
          </m:r>
        </m:oMath>
      </m:oMathPara>
    </w:p>
    <w:p w14:paraId="3EA4CDD5" w14:textId="77777777" w:rsidR="00FD0189" w:rsidRDefault="00000000">
      <w:pPr>
        <w:pStyle w:val="FirstParagraph"/>
      </w:pPr>
      <w:r>
        <w:lastRenderedPageBreak/>
        <w:t>Assuming that there is a single asexual female at time one, we get</w:t>
      </w:r>
    </w:p>
    <w:p w14:paraId="537943D6" w14:textId="77777777" w:rsidR="00FD0189" w:rsidRDefault="00000000">
      <w:pPr>
        <w:pStyle w:val="BodyText"/>
      </w:pPr>
      <m:oMathPara>
        <m:oMathParaPr>
          <m:jc m:val="center"/>
        </m:oMathParaPr>
        <m:oMath>
          <m:r>
            <w:rPr>
              <w:rFonts w:ascii="Latin Modern Math" w:hAnsi="Latin Modern Math"/>
            </w:rPr>
            <m:t>F</m:t>
          </m:r>
          <m:r>
            <m:rPr>
              <m:sty m:val="p"/>
            </m:rPr>
            <w:rPr>
              <w:rFonts w:ascii="Latin Modern Math" w:hAnsi="Latin Modern Math"/>
            </w:rPr>
            <m:t>=</m:t>
          </m:r>
          <m:f>
            <m:fPr>
              <m:ctrlPr>
                <w:rPr>
                  <w:rFonts w:ascii="Latin Modern Math" w:hAnsi="Latin Modern Math"/>
                </w:rPr>
              </m:ctrlPr>
            </m:fPr>
            <m:num>
              <m:r>
                <w:rPr>
                  <w:rFonts w:ascii="Latin Modern Math" w:hAnsi="Latin Modern Math"/>
                </w:rPr>
                <m:t>1</m:t>
              </m:r>
            </m:num>
            <m:den>
              <m:r>
                <w:rPr>
                  <w:rFonts w:ascii="Latin Modern Math" w:hAnsi="Latin Modern Math"/>
                </w:rPr>
                <m:t>1</m:t>
              </m:r>
              <m:r>
                <m:rPr>
                  <m:sty m:val="p"/>
                </m:rPr>
                <w:rPr>
                  <w:rFonts w:ascii="Latin Modern Math" w:hAnsi="Latin Modern Math"/>
                </w:rPr>
                <m:t>+</m:t>
              </m:r>
              <m:r>
                <w:rPr>
                  <w:rFonts w:ascii="Latin Modern Math" w:hAnsi="Latin Modern Math"/>
                </w:rPr>
                <m:t>r</m:t>
              </m:r>
              <m:sSub>
                <m:sSubPr>
                  <m:ctrlPr>
                    <w:rPr>
                      <w:rFonts w:ascii="Latin Modern Math" w:hAnsi="Latin Modern Math"/>
                    </w:rPr>
                  </m:ctrlPr>
                </m:sSubPr>
                <m:e>
                  <m:r>
                    <w:rPr>
                      <w:rFonts w:ascii="Latin Modern Math" w:hAnsi="Latin Modern Math"/>
                    </w:rPr>
                    <m:t>N</m:t>
                  </m:r>
                </m:e>
                <m:sub>
                  <m:r>
                    <w:rPr>
                      <w:rFonts w:ascii="Latin Modern Math" w:hAnsi="Latin Modern Math"/>
                    </w:rPr>
                    <m:t>sex</m:t>
                  </m:r>
                </m:sub>
              </m:sSub>
            </m:den>
          </m:f>
          <m:r>
            <m:rPr>
              <m:sty m:val="p"/>
            </m:rPr>
            <w:rPr>
              <w:rFonts w:ascii="Latin Modern Math" w:hAnsi="Latin Modern Math"/>
            </w:rPr>
            <m:t>/</m:t>
          </m:r>
          <m:f>
            <m:fPr>
              <m:ctrlPr>
                <w:rPr>
                  <w:rFonts w:ascii="Latin Modern Math" w:hAnsi="Latin Modern Math"/>
                </w:rPr>
              </m:ctrlPr>
            </m:fPr>
            <m:num>
              <m:r>
                <w:rPr>
                  <w:rFonts w:ascii="Latin Modern Math" w:hAnsi="Latin Modern Math"/>
                </w:rPr>
                <m:t>1</m:t>
              </m:r>
            </m:num>
            <m:den>
              <m:r>
                <w:rPr>
                  <w:rFonts w:ascii="Latin Modern Math" w:hAnsi="Latin Modern Math"/>
                </w:rPr>
                <m:t>1</m:t>
              </m:r>
              <m:r>
                <m:rPr>
                  <m:sty m:val="p"/>
                </m:rPr>
                <w:rPr>
                  <w:rFonts w:ascii="Latin Modern Math" w:hAnsi="Latin Modern Math"/>
                </w:rPr>
                <m:t>+</m:t>
              </m:r>
              <m:sSub>
                <m:sSubPr>
                  <m:ctrlPr>
                    <w:rPr>
                      <w:rFonts w:ascii="Latin Modern Math" w:hAnsi="Latin Modern Math"/>
                    </w:rPr>
                  </m:ctrlPr>
                </m:sSubPr>
                <m:e>
                  <m:r>
                    <w:rPr>
                      <w:rFonts w:ascii="Latin Modern Math" w:hAnsi="Latin Modern Math"/>
                    </w:rPr>
                    <m:t>N</m:t>
                  </m:r>
                </m:e>
                <m:sub>
                  <m:r>
                    <w:rPr>
                      <w:rFonts w:ascii="Latin Modern Math" w:hAnsi="Latin Modern Math"/>
                    </w:rPr>
                    <m:t>sex</m:t>
                  </m:r>
                </m:sub>
              </m:sSub>
            </m:den>
          </m:f>
          <m:r>
            <m:rPr>
              <m:sty m:val="p"/>
            </m:rPr>
            <w:rPr>
              <w:rFonts w:ascii="Latin Modern Math" w:hAnsi="Latin Modern Math"/>
            </w:rPr>
            <m:t>=</m:t>
          </m:r>
          <m:f>
            <m:fPr>
              <m:ctrlPr>
                <w:rPr>
                  <w:rFonts w:ascii="Latin Modern Math" w:hAnsi="Latin Modern Math"/>
                </w:rPr>
              </m:ctrlPr>
            </m:fPr>
            <m:num>
              <m:r>
                <w:rPr>
                  <w:rFonts w:ascii="Latin Modern Math" w:hAnsi="Latin Modern Math"/>
                </w:rPr>
                <m:t>1</m:t>
              </m:r>
              <m:r>
                <m:rPr>
                  <m:sty m:val="p"/>
                </m:rPr>
                <w:rPr>
                  <w:rFonts w:ascii="Latin Modern Math" w:hAnsi="Latin Modern Math"/>
                </w:rPr>
                <m:t>+</m:t>
              </m:r>
              <m:sSub>
                <m:sSubPr>
                  <m:ctrlPr>
                    <w:rPr>
                      <w:rFonts w:ascii="Latin Modern Math" w:hAnsi="Latin Modern Math"/>
                    </w:rPr>
                  </m:ctrlPr>
                </m:sSubPr>
                <m:e>
                  <m:r>
                    <w:rPr>
                      <w:rFonts w:ascii="Latin Modern Math" w:hAnsi="Latin Modern Math"/>
                    </w:rPr>
                    <m:t>N</m:t>
                  </m:r>
                </m:e>
                <m:sub>
                  <m:r>
                    <w:rPr>
                      <w:rFonts w:ascii="Latin Modern Math" w:hAnsi="Latin Modern Math"/>
                    </w:rPr>
                    <m:t>sex</m:t>
                  </m:r>
                </m:sub>
              </m:sSub>
            </m:num>
            <m:den>
              <m:r>
                <w:rPr>
                  <w:rFonts w:ascii="Latin Modern Math" w:hAnsi="Latin Modern Math"/>
                </w:rPr>
                <m:t>1</m:t>
              </m:r>
              <m:r>
                <m:rPr>
                  <m:sty m:val="p"/>
                </m:rPr>
                <w:rPr>
                  <w:rFonts w:ascii="Latin Modern Math" w:hAnsi="Latin Modern Math"/>
                </w:rPr>
                <m:t>+</m:t>
              </m:r>
              <m:r>
                <w:rPr>
                  <w:rFonts w:ascii="Latin Modern Math" w:hAnsi="Latin Modern Math"/>
                </w:rPr>
                <m:t>r</m:t>
              </m:r>
              <m:sSub>
                <m:sSubPr>
                  <m:ctrlPr>
                    <w:rPr>
                      <w:rFonts w:ascii="Latin Modern Math" w:hAnsi="Latin Modern Math"/>
                    </w:rPr>
                  </m:ctrlPr>
                </m:sSubPr>
                <m:e>
                  <m:r>
                    <w:rPr>
                      <w:rFonts w:ascii="Latin Modern Math" w:hAnsi="Latin Modern Math"/>
                    </w:rPr>
                    <m:t>N</m:t>
                  </m:r>
                </m:e>
                <m:sub>
                  <m:r>
                    <w:rPr>
                      <w:rFonts w:ascii="Latin Modern Math" w:hAnsi="Latin Modern Math"/>
                    </w:rPr>
                    <m:t>sex</m:t>
                  </m:r>
                </m:sub>
              </m:sSub>
            </m:den>
          </m:f>
          <m:r>
            <m:rPr>
              <m:sty m:val="p"/>
            </m:rPr>
            <w:rPr>
              <w:rFonts w:ascii="Latin Modern Math" w:hAnsi="Latin Modern Math"/>
            </w:rPr>
            <m:t>.</m:t>
          </m:r>
        </m:oMath>
      </m:oMathPara>
    </w:p>
    <w:p w14:paraId="6E2C5250" w14:textId="77777777" w:rsidR="00FD0189" w:rsidRDefault="00000000">
      <w:pPr>
        <w:pStyle w:val="FirstParagraph"/>
      </w:pPr>
      <w:r>
        <w:t xml:space="preserve">If </w:t>
      </w:r>
      <m:oMath>
        <m:sSub>
          <m:sSubPr>
            <m:ctrlPr>
              <w:rPr>
                <w:rFonts w:ascii="Latin Modern Math" w:hAnsi="Latin Modern Math"/>
              </w:rPr>
            </m:ctrlPr>
          </m:sSubPr>
          <m:e>
            <m:r>
              <w:rPr>
                <w:rFonts w:ascii="Latin Modern Math" w:hAnsi="Latin Modern Math"/>
              </w:rPr>
              <m:t>N</m:t>
            </m:r>
          </m:e>
          <m:sub>
            <m:r>
              <w:rPr>
                <w:rFonts w:ascii="Latin Modern Math" w:hAnsi="Latin Modern Math"/>
              </w:rPr>
              <m:t>sex</m:t>
            </m:r>
          </m:sub>
        </m:sSub>
      </m:oMath>
      <w:r>
        <w:t xml:space="preserve"> is very large, the solution reduces to </w:t>
      </w:r>
      <m:oMath>
        <m:r>
          <w:rPr>
            <w:rFonts w:ascii="Latin Modern Math" w:hAnsi="Latin Modern Math"/>
          </w:rPr>
          <m:t>F</m:t>
        </m:r>
        <m:r>
          <m:rPr>
            <m:sty m:val="p"/>
          </m:rPr>
          <w:rPr>
            <w:rFonts w:ascii="Latin Modern Math" w:hAnsi="Latin Modern Math"/>
          </w:rPr>
          <m:t>≈</m:t>
        </m:r>
        <m:r>
          <w:rPr>
            <w:rFonts w:ascii="Latin Modern Math" w:hAnsi="Latin Modern Math"/>
          </w:rPr>
          <m:t>1</m:t>
        </m:r>
        <m:r>
          <m:rPr>
            <m:sty m:val="p"/>
          </m:rPr>
          <w:rPr>
            <w:rFonts w:ascii="Latin Modern Math" w:hAnsi="Latin Modern Math"/>
          </w:rPr>
          <m:t>/</m:t>
        </m:r>
        <m:r>
          <w:rPr>
            <w:rFonts w:ascii="Latin Modern Math" w:hAnsi="Latin Modern Math"/>
          </w:rPr>
          <m:t>r</m:t>
        </m:r>
      </m:oMath>
      <w:r>
        <w:t xml:space="preserve">. Hence, the fold increase in the frequency of asexuals, </w:t>
      </w:r>
      <m:oMath>
        <m:r>
          <w:rPr>
            <w:rFonts w:ascii="Latin Modern Math" w:hAnsi="Latin Modern Math"/>
          </w:rPr>
          <m:t>F</m:t>
        </m:r>
      </m:oMath>
      <w:r>
        <w:t xml:space="preserve">, is inversely related to the frequency of females </w:t>
      </w:r>
      <m:oMath>
        <m:d>
          <m:dPr>
            <m:ctrlPr>
              <w:rPr>
                <w:rFonts w:ascii="Latin Modern Math" w:hAnsi="Latin Modern Math"/>
              </w:rPr>
            </m:ctrlPr>
          </m:dPr>
          <m:e>
            <m:r>
              <w:rPr>
                <w:rFonts w:ascii="Latin Modern Math" w:hAnsi="Latin Modern Math"/>
              </w:rPr>
              <m:t>r</m:t>
            </m:r>
          </m:e>
        </m:d>
      </m:oMath>
      <w:r>
        <w:t xml:space="preserve"> in the sexual subpopulation. Assuming a one-to-one sex ratio, </w:t>
      </w:r>
      <m:oMath>
        <m:r>
          <w:rPr>
            <w:rFonts w:ascii="Latin Modern Math" w:hAnsi="Latin Modern Math"/>
          </w:rPr>
          <m:t>r</m:t>
        </m:r>
        <m:r>
          <m:rPr>
            <m:sty m:val="p"/>
          </m:rPr>
          <w:rPr>
            <w:rFonts w:ascii="Latin Modern Math" w:hAnsi="Latin Modern Math"/>
          </w:rPr>
          <m:t>=</m:t>
        </m:r>
        <m:r>
          <w:rPr>
            <w:rFonts w:ascii="Latin Modern Math" w:hAnsi="Latin Modern Math"/>
          </w:rPr>
          <m:t>0.5</m:t>
        </m:r>
      </m:oMath>
      <w:r>
        <w:t xml:space="preserve">. Hence, for an equal sex ratio, the increase in asexuals is </w:t>
      </w:r>
      <m:oMath>
        <m:r>
          <m:rPr>
            <m:sty m:val="p"/>
          </m:rPr>
          <w:rPr>
            <w:rFonts w:ascii="Latin Modern Math" w:hAnsi="Latin Modern Math"/>
          </w:rPr>
          <m:t>≈</m:t>
        </m:r>
      </m:oMath>
      <w:r>
        <w:t xml:space="preserve"> two-fold. This result gives the two-fold cost of males. Assuming “all-e</w:t>
      </w:r>
      <w:proofErr w:type="spellStart"/>
      <w:r>
        <w:t>lse</w:t>
      </w:r>
      <w:proofErr w:type="spellEnd"/>
      <w:r>
        <w:t>-equal” a clone will double when rare when introduced into a large sexual population.</w:t>
      </w:r>
    </w:p>
    <w:p w14:paraId="355EC4A5" w14:textId="77777777" w:rsidR="00FD0189" w:rsidRDefault="00000000">
      <w:pPr>
        <w:pStyle w:val="Heading1"/>
      </w:pPr>
      <w:bookmarkStart w:id="36" w:name="sec-eco-hyp"/>
      <w:bookmarkStart w:id="37" w:name="_Toc159248491"/>
      <w:bookmarkEnd w:id="12"/>
      <w:bookmarkEnd w:id="33"/>
      <w:r>
        <w:lastRenderedPageBreak/>
        <w:t>2. The Ecological Hypotheses</w:t>
      </w:r>
      <w:bookmarkEnd w:id="37"/>
    </w:p>
    <w:p w14:paraId="0FAAB1E8" w14:textId="77777777" w:rsidR="00FD0189" w:rsidRDefault="00000000">
      <w:pPr>
        <w:pStyle w:val="FirstParagraph"/>
      </w:pPr>
      <w:r>
        <w:rPr>
          <w:noProof/>
        </w:rPr>
        <w:drawing>
          <wp:inline distT="0" distB="0" distL="0" distR="0" wp14:anchorId="366F5846" wp14:editId="6AF4343D">
            <wp:extent cx="3822191" cy="2545080"/>
            <wp:effectExtent l="0" t="0" r="0" b="0"/>
            <wp:docPr id="82" name="Pictur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82" name="Picture">
                      <a:extLst>
                        <a:ext uri="{C183D7F6-B498-43B3-948B-1728B52AA6E4}">
                          <adec:decorative xmlns:adec="http://schemas.microsoft.com/office/drawing/2017/decorative" val="1"/>
                        </a:ext>
                      </a:extLst>
                    </pic:cNvPr>
                    <pic:cNvPicPr>
                      <a:picLocks noChangeAspect="1" noChangeArrowheads="1"/>
                    </pic:cNvPicPr>
                  </pic:nvPicPr>
                  <pic:blipFill>
                    <a:blip r:embed="rId37"/>
                    <a:stretch>
                      <a:fillRect/>
                    </a:stretch>
                  </pic:blipFill>
                  <pic:spPr bwMode="auto">
                    <a:xfrm>
                      <a:off x="0" y="0"/>
                      <a:ext cx="3822191" cy="2545080"/>
                    </a:xfrm>
                    <a:prstGeom prst="rect">
                      <a:avLst/>
                    </a:prstGeom>
                    <a:noFill/>
                    <a:ln w="9525">
                      <a:noFill/>
                      <a:headEnd/>
                      <a:tailEnd/>
                    </a:ln>
                  </pic:spPr>
                </pic:pic>
              </a:graphicData>
            </a:graphic>
          </wp:inline>
        </w:drawing>
      </w:r>
    </w:p>
    <w:p w14:paraId="2277BB18" w14:textId="77777777" w:rsidR="00FD0189" w:rsidRDefault="00000000">
      <w:pPr>
        <w:pStyle w:val="BodyText"/>
      </w:pPr>
      <w:r>
        <w:t>The sex/recombination (“sex/rec”) anomaly has attracted some of the best theoretical biologists over the last 50 years leading to at least two dozen hypotheses to explain selection for recombination and/or the persistence of obligate sexual reproduction in natural populations (</w:t>
      </w:r>
      <w:proofErr w:type="spellStart"/>
      <w:r>
        <w:fldChar w:fldCharType="begin"/>
      </w:r>
      <w:r>
        <w:instrText>HYPERLINK \l "ref-kondrashov1993a" \h</w:instrText>
      </w:r>
      <w:r>
        <w:fldChar w:fldCharType="separate"/>
      </w:r>
      <w:r>
        <w:rPr>
          <w:rStyle w:val="Hyperlink"/>
        </w:rPr>
        <w:t>Kondrashov</w:t>
      </w:r>
      <w:proofErr w:type="spellEnd"/>
      <w:r>
        <w:rPr>
          <w:rStyle w:val="Hyperlink"/>
        </w:rPr>
        <w:t xml:space="preserve"> 1993</w:t>
      </w:r>
      <w:r>
        <w:rPr>
          <w:rStyle w:val="Hyperlink"/>
        </w:rPr>
        <w:fldChar w:fldCharType="end"/>
      </w:r>
      <w:r>
        <w:t>). In what follows, I first focus on the ecological hypotheses. The ideas underlying these hypotheses provide a handle for understanding some of the foundational concepts in evolutionary ecology.</w:t>
      </w:r>
    </w:p>
    <w:p w14:paraId="665148D4" w14:textId="77777777" w:rsidR="00FD0189" w:rsidRDefault="00000000">
      <w:pPr>
        <w:pStyle w:val="Heading2"/>
      </w:pPr>
      <w:bookmarkStart w:id="38" w:name="the-lottery-model"/>
      <w:bookmarkStart w:id="39" w:name="_Toc159248492"/>
      <w:r>
        <w:t>2.1 The Lottery Model</w:t>
      </w:r>
      <w:bookmarkEnd w:id="39"/>
    </w:p>
    <w:p w14:paraId="5763E74C" w14:textId="77777777" w:rsidR="00FD0189" w:rsidRDefault="00000000">
      <w:pPr>
        <w:pStyle w:val="FirstParagraph"/>
      </w:pPr>
      <w:r>
        <w:t>As part of his book on the evolution of sex, Williams (</w:t>
      </w:r>
      <w:hyperlink w:anchor="ref-williams1975a">
        <w:r>
          <w:rPr>
            <w:rStyle w:val="Hyperlink"/>
          </w:rPr>
          <w:t>1975</w:t>
        </w:r>
      </w:hyperlink>
      <w:r>
        <w:t xml:space="preserve">) suggests that sex could be favored in fluctuating abiotic environments. The idea is intuitive: cross-fertilization generates variation among offspring. Hence, in fluctuating environments, sex could increase the probability that some offspring might survive. Williams likens the idea to a unique kind of lottery. For example, he writes, “Suppose you were offered this choice in a lottery: either you could have several different tickets, or you could have the same number of copies of the same ticket” (p. 15). If you choose </w:t>
      </w:r>
      <w:r>
        <w:rPr>
          <w:i/>
          <w:iCs/>
        </w:rPr>
        <w:t>N</w:t>
      </w:r>
      <w:r>
        <w:t xml:space="preserve"> copies of the same ticket (</w:t>
      </w:r>
      <w:proofErr w:type="spellStart"/>
      <w:r>
        <w:t>asex</w:t>
      </w:r>
      <w:proofErr w:type="spellEnd"/>
      <w:r>
        <w:t xml:space="preserve">) and your ticket wins, you get </w:t>
      </w:r>
      <w:r>
        <w:rPr>
          <w:i/>
          <w:iCs/>
        </w:rPr>
        <w:t>N</w:t>
      </w:r>
      <w:r>
        <w:t xml:space="preserve"> times the reward. If you choose </w:t>
      </w:r>
      <w:r>
        <w:rPr>
          <w:i/>
          <w:iCs/>
        </w:rPr>
        <w:t>N</w:t>
      </w:r>
      <w:r>
        <w:t xml:space="preserve"> different tickets (sex), you increase the probability of winning something, but the reward is smaller. Williams refers to the idea as the aphid-rotifer model, but the idea has since come to be known as the Lottery Model (following </w:t>
      </w:r>
      <w:hyperlink w:anchor="ref-bell1982a">
        <w:r>
          <w:rPr>
            <w:rStyle w:val="Hyperlink"/>
          </w:rPr>
          <w:t>Bell 1982</w:t>
        </w:r>
      </w:hyperlink>
      <w:r>
        <w:t>), which is a more descriptive phrase.</w:t>
      </w:r>
      <w:r>
        <w:rPr>
          <w:rStyle w:val="FootnoteReference"/>
        </w:rPr>
        <w:footnoteReference w:id="8"/>
      </w:r>
    </w:p>
    <w:p w14:paraId="2EAD393C" w14:textId="77777777" w:rsidR="00FD0189" w:rsidRDefault="00000000">
      <w:pPr>
        <w:pStyle w:val="BodyText"/>
      </w:pPr>
      <w:r>
        <w:t>In my evolution course, I ask a form of Williams’ question but with a slight twist:</w:t>
      </w:r>
    </w:p>
    <w:p w14:paraId="4679787B" w14:textId="77777777" w:rsidR="00FD0189" w:rsidRDefault="00000000">
      <w:pPr>
        <w:pStyle w:val="BlockText"/>
      </w:pPr>
      <w:r>
        <w:lastRenderedPageBreak/>
        <w:t>If you had a garden, upon which your descendants will depend for many generations to come, would you</w:t>
      </w:r>
    </w:p>
    <w:p w14:paraId="3D0FDDAD" w14:textId="77777777" w:rsidR="00FD0189" w:rsidRDefault="00000000">
      <w:pPr>
        <w:pStyle w:val="Compact"/>
        <w:numPr>
          <w:ilvl w:val="0"/>
          <w:numId w:val="28"/>
        </w:numPr>
      </w:pPr>
      <w:r>
        <w:t>plant a genetically variable crop, or</w:t>
      </w:r>
    </w:p>
    <w:p w14:paraId="24B80B45" w14:textId="77777777" w:rsidR="00FD0189" w:rsidRDefault="00000000">
      <w:pPr>
        <w:pStyle w:val="Compact"/>
        <w:numPr>
          <w:ilvl w:val="0"/>
          <w:numId w:val="28"/>
        </w:numPr>
      </w:pPr>
      <w:r>
        <w:t>a monoculture with a two-fold higher yield?</w:t>
      </w:r>
    </w:p>
    <w:p w14:paraId="43950C3D" w14:textId="77777777" w:rsidR="00FD0189" w:rsidRDefault="00000000">
      <w:pPr>
        <w:pStyle w:val="BlockText"/>
      </w:pPr>
      <w:r>
        <w:t>Keep in mind that your descendants will follow your choice.</w:t>
      </w:r>
    </w:p>
    <w:p w14:paraId="48036683" w14:textId="77777777" w:rsidR="00FD0189" w:rsidRDefault="00000000">
      <w:pPr>
        <w:pStyle w:val="FirstParagraph"/>
      </w:pPr>
      <w:r>
        <w:t>Often the students rightfully want some clarification. They ask, for example, “Can we use pesticides?” But every time, most students choose the variable crop. I remind them that selecting the variable crop will reduce their yield by one half. They don’t budge. I re-ask the question, doubling the relative yield for the monoculture from two-fold to four-fold. Then to 10-fold. Occasionally, one of the more risk-prone students will select the 10-fold higher yield, but most do not budge. They want genetic variation. I ask them why. Invariably, they say that the environment is going to change. They want to hedge their bets against an uncertain future.</w:t>
      </w:r>
    </w:p>
    <w:p w14:paraId="45808E13" w14:textId="77777777" w:rsidR="00FD0189" w:rsidRDefault="00000000">
      <w:pPr>
        <w:pStyle w:val="BodyText"/>
      </w:pPr>
      <w:r>
        <w:t xml:space="preserve">Indeed, Williams’ Lottery Model is about bet hedging. The gist of bet hedging in evolutionary theory is that selection can act to reduce the variance in reproductive success over time, even if it also reduces the arithmetic mean across years (review in </w:t>
      </w:r>
      <w:hyperlink w:anchor="ref-philippi1989a">
        <w:r>
          <w:rPr>
            <w:rStyle w:val="Hyperlink"/>
          </w:rPr>
          <w:t>Philippi &amp; Seger 1989</w:t>
        </w:r>
      </w:hyperlink>
      <w:r>
        <w:t>). Suppose, for example, that we have data for both a monoculture and a genetically variable polyculture (</w:t>
      </w:r>
      <w:hyperlink w:anchor="tbl-bh1">
        <w:r>
          <w:rPr>
            <w:rStyle w:val="Hyperlink"/>
          </w:rPr>
          <w:t>Table 2.1</w:t>
        </w:r>
      </w:hyperlink>
      <w:r>
        <w:t xml:space="preserve"> &amp; </w:t>
      </w:r>
      <w:hyperlink w:anchor="tbl-bh2">
        <w:r>
          <w:rPr>
            <w:rStyle w:val="Hyperlink"/>
          </w:rPr>
          <w:t>Table 2.2</w:t>
        </w:r>
      </w:hyperlink>
      <w:r>
        <w:t>). Let’s assume that the variation in yield is driven by annual variation in abiotic factors such as temperature or precipitation. The effect of planting a polyculture (bet-hedging) can be estimated from the geometric mean, which incorporates the variation in yield over time.</w:t>
      </w:r>
    </w:p>
    <w:p w14:paraId="6FD74A9D" w14:textId="77777777" w:rsidR="00FD0189" w:rsidRDefault="00000000">
      <w:pPr>
        <w:pStyle w:val="BodyText"/>
      </w:pPr>
      <w:r>
        <w:t>In this example, we find that the monoculture has an arithmetic mean of 240, while the polyculture has an arithmetic mean of only 220. So, I might be inclined to plant the monoculture. However, the among-year variance is very high for the monoculture (relative to the polyculture), driven in large part by the low yields in years 4 and 5. By contrast, the geometric mean for the monoculture is 184, while the geometric mean for the polyculture is 219. Based on this, I might be inclined to plant the polyculture, as it reduces the cost of very low yield in bad years. I think the students see this intuitively. Over the long term, it is better to be risk-averse and plant the genetically variable polyculture. What if, for example, the monoculture produced no food in the last year? The geometric mean would be zero. That would be catastrophic.</w:t>
      </w:r>
    </w:p>
    <w:tbl>
      <w:tblPr>
        <w:tblStyle w:val="Table"/>
        <w:tblW w:w="5000" w:type="pct"/>
        <w:tblLayout w:type="fixed"/>
        <w:tblLook w:val="0020" w:firstRow="1" w:lastRow="0" w:firstColumn="0" w:lastColumn="0" w:noHBand="0" w:noVBand="0"/>
      </w:tblPr>
      <w:tblGrid>
        <w:gridCol w:w="9360"/>
      </w:tblGrid>
      <w:tr w:rsidR="00FD0189" w14:paraId="6E60F333" w14:textId="77777777" w:rsidTr="007D0981">
        <w:trPr>
          <w:cnfStyle w:val="100000000000" w:firstRow="1" w:lastRow="0" w:firstColumn="0" w:lastColumn="0" w:oddVBand="0" w:evenVBand="0" w:oddHBand="0" w:evenHBand="0" w:firstRowFirstColumn="0" w:firstRowLastColumn="0" w:lastRowFirstColumn="0" w:lastRowLastColumn="0"/>
        </w:trPr>
        <w:tc>
          <w:tcPr>
            <w:tcW w:w="7920" w:type="dxa"/>
          </w:tcPr>
          <w:p w14:paraId="31564F77" w14:textId="77777777" w:rsidR="00FD0189" w:rsidRDefault="00000000">
            <w:pPr>
              <w:pStyle w:val="ImageCaption"/>
              <w:spacing w:before="200"/>
            </w:pPr>
            <w:bookmarkStart w:id="40" w:name="tbl-bh1"/>
            <w:r>
              <w:t>Table 2.1: Bet Hedging. The entries show annual yields (in arbitrary units) over five years for a monoculture and a polyculture.</w:t>
            </w:r>
          </w:p>
          <w:tbl>
            <w:tblPr>
              <w:tblStyle w:val="Table"/>
              <w:tblW w:w="5000" w:type="pct"/>
              <w:tblLayout w:type="fixed"/>
              <w:tblLook w:val="0020" w:firstRow="1" w:lastRow="0" w:firstColumn="0" w:lastColumn="0" w:noHBand="0" w:noVBand="0"/>
            </w:tblPr>
            <w:tblGrid>
              <w:gridCol w:w="4207"/>
              <w:gridCol w:w="2651"/>
              <w:gridCol w:w="2286"/>
            </w:tblGrid>
            <w:tr w:rsidR="00FD0189" w14:paraId="4582ADC4" w14:textId="77777777" w:rsidTr="00FD0189">
              <w:trPr>
                <w:cnfStyle w:val="100000000000" w:firstRow="1" w:lastRow="0" w:firstColumn="0" w:lastColumn="0" w:oddVBand="0" w:evenVBand="0" w:oddHBand="0" w:evenHBand="0" w:firstRowFirstColumn="0" w:firstRowLastColumn="0" w:lastRowFirstColumn="0" w:lastRowLastColumn="0"/>
                <w:tblHeader/>
              </w:trPr>
              <w:tc>
                <w:tcPr>
                  <w:tcW w:w="3643" w:type="dxa"/>
                </w:tcPr>
                <w:p w14:paraId="57334765" w14:textId="77777777" w:rsidR="00FD0189" w:rsidRDefault="00000000">
                  <w:pPr>
                    <w:pStyle w:val="Compact"/>
                    <w:jc w:val="center"/>
                  </w:pPr>
                  <w:r>
                    <w:t>Year</w:t>
                  </w:r>
                </w:p>
              </w:tc>
              <w:tc>
                <w:tcPr>
                  <w:tcW w:w="2296" w:type="dxa"/>
                </w:tcPr>
                <w:p w14:paraId="6546CC40" w14:textId="77777777" w:rsidR="00FD0189" w:rsidRDefault="00000000">
                  <w:pPr>
                    <w:pStyle w:val="Compact"/>
                    <w:jc w:val="center"/>
                  </w:pPr>
                  <w:r>
                    <w:t>Monoculture</w:t>
                  </w:r>
                </w:p>
              </w:tc>
              <w:tc>
                <w:tcPr>
                  <w:tcW w:w="1980" w:type="dxa"/>
                </w:tcPr>
                <w:p w14:paraId="681695EE" w14:textId="77777777" w:rsidR="00FD0189" w:rsidRDefault="00000000">
                  <w:pPr>
                    <w:pStyle w:val="Compact"/>
                    <w:jc w:val="center"/>
                  </w:pPr>
                  <w:r>
                    <w:t>Polyculture</w:t>
                  </w:r>
                </w:p>
              </w:tc>
            </w:tr>
            <w:tr w:rsidR="00FD0189" w14:paraId="659E4E41" w14:textId="77777777">
              <w:tc>
                <w:tcPr>
                  <w:tcW w:w="3643" w:type="dxa"/>
                </w:tcPr>
                <w:p w14:paraId="41511E08" w14:textId="77777777" w:rsidR="00FD0189" w:rsidRDefault="00000000">
                  <w:pPr>
                    <w:pStyle w:val="Compact"/>
                    <w:jc w:val="center"/>
                  </w:pPr>
                  <w:r>
                    <w:t>1</w:t>
                  </w:r>
                </w:p>
              </w:tc>
              <w:tc>
                <w:tcPr>
                  <w:tcW w:w="2296" w:type="dxa"/>
                </w:tcPr>
                <w:p w14:paraId="5FF9ECF9" w14:textId="77777777" w:rsidR="00FD0189" w:rsidRDefault="00000000">
                  <w:pPr>
                    <w:pStyle w:val="Compact"/>
                    <w:jc w:val="center"/>
                  </w:pPr>
                  <w:r>
                    <w:t>350</w:t>
                  </w:r>
                </w:p>
              </w:tc>
              <w:tc>
                <w:tcPr>
                  <w:tcW w:w="1980" w:type="dxa"/>
                </w:tcPr>
                <w:p w14:paraId="12050505" w14:textId="77777777" w:rsidR="00FD0189" w:rsidRDefault="00000000">
                  <w:pPr>
                    <w:pStyle w:val="Compact"/>
                    <w:jc w:val="center"/>
                  </w:pPr>
                  <w:r>
                    <w:t>250</w:t>
                  </w:r>
                </w:p>
              </w:tc>
            </w:tr>
            <w:tr w:rsidR="00FD0189" w14:paraId="6C742101" w14:textId="77777777">
              <w:tc>
                <w:tcPr>
                  <w:tcW w:w="3643" w:type="dxa"/>
                </w:tcPr>
                <w:p w14:paraId="052D11B9" w14:textId="77777777" w:rsidR="00FD0189" w:rsidRDefault="00000000">
                  <w:pPr>
                    <w:pStyle w:val="Compact"/>
                    <w:jc w:val="center"/>
                  </w:pPr>
                  <w:r>
                    <w:t>2</w:t>
                  </w:r>
                </w:p>
              </w:tc>
              <w:tc>
                <w:tcPr>
                  <w:tcW w:w="2296" w:type="dxa"/>
                </w:tcPr>
                <w:p w14:paraId="2D0D8E38" w14:textId="77777777" w:rsidR="00FD0189" w:rsidRDefault="00000000">
                  <w:pPr>
                    <w:pStyle w:val="Compact"/>
                    <w:jc w:val="center"/>
                  </w:pPr>
                  <w:r>
                    <w:t>400</w:t>
                  </w:r>
                </w:p>
              </w:tc>
              <w:tc>
                <w:tcPr>
                  <w:tcW w:w="1980" w:type="dxa"/>
                </w:tcPr>
                <w:p w14:paraId="7C15D408" w14:textId="77777777" w:rsidR="00FD0189" w:rsidRDefault="00000000">
                  <w:pPr>
                    <w:pStyle w:val="Compact"/>
                    <w:jc w:val="center"/>
                  </w:pPr>
                  <w:r>
                    <w:t>250</w:t>
                  </w:r>
                </w:p>
              </w:tc>
            </w:tr>
            <w:tr w:rsidR="00FD0189" w14:paraId="49CFCC98" w14:textId="77777777">
              <w:tc>
                <w:tcPr>
                  <w:tcW w:w="3643" w:type="dxa"/>
                </w:tcPr>
                <w:p w14:paraId="3E2304FF" w14:textId="77777777" w:rsidR="00FD0189" w:rsidRDefault="00000000">
                  <w:pPr>
                    <w:pStyle w:val="Compact"/>
                    <w:jc w:val="center"/>
                  </w:pPr>
                  <w:r>
                    <w:t>3</w:t>
                  </w:r>
                </w:p>
              </w:tc>
              <w:tc>
                <w:tcPr>
                  <w:tcW w:w="2296" w:type="dxa"/>
                </w:tcPr>
                <w:p w14:paraId="60837830" w14:textId="77777777" w:rsidR="00FD0189" w:rsidRDefault="00000000">
                  <w:pPr>
                    <w:pStyle w:val="Compact"/>
                    <w:jc w:val="center"/>
                  </w:pPr>
                  <w:r>
                    <w:t>300</w:t>
                  </w:r>
                </w:p>
              </w:tc>
              <w:tc>
                <w:tcPr>
                  <w:tcW w:w="1980" w:type="dxa"/>
                </w:tcPr>
                <w:p w14:paraId="2EA6A334" w14:textId="77777777" w:rsidR="00FD0189" w:rsidRDefault="00000000">
                  <w:pPr>
                    <w:pStyle w:val="Compact"/>
                    <w:jc w:val="center"/>
                  </w:pPr>
                  <w:r>
                    <w:t>200</w:t>
                  </w:r>
                </w:p>
              </w:tc>
            </w:tr>
            <w:tr w:rsidR="00FD0189" w14:paraId="2664FED5" w14:textId="77777777">
              <w:tc>
                <w:tcPr>
                  <w:tcW w:w="3643" w:type="dxa"/>
                </w:tcPr>
                <w:p w14:paraId="43E8C0BB" w14:textId="77777777" w:rsidR="00FD0189" w:rsidRDefault="00000000">
                  <w:pPr>
                    <w:pStyle w:val="Compact"/>
                    <w:jc w:val="center"/>
                  </w:pPr>
                  <w:r>
                    <w:t>4</w:t>
                  </w:r>
                </w:p>
              </w:tc>
              <w:tc>
                <w:tcPr>
                  <w:tcW w:w="2296" w:type="dxa"/>
                </w:tcPr>
                <w:p w14:paraId="533693C9" w14:textId="77777777" w:rsidR="00FD0189" w:rsidRDefault="00000000">
                  <w:pPr>
                    <w:pStyle w:val="Compact"/>
                    <w:jc w:val="center"/>
                  </w:pPr>
                  <w:r>
                    <w:t>100</w:t>
                  </w:r>
                </w:p>
              </w:tc>
              <w:tc>
                <w:tcPr>
                  <w:tcW w:w="1980" w:type="dxa"/>
                </w:tcPr>
                <w:p w14:paraId="6FD0554B" w14:textId="77777777" w:rsidR="00FD0189" w:rsidRDefault="00000000">
                  <w:pPr>
                    <w:pStyle w:val="Compact"/>
                    <w:jc w:val="center"/>
                  </w:pPr>
                  <w:r>
                    <w:t>200</w:t>
                  </w:r>
                </w:p>
              </w:tc>
            </w:tr>
            <w:tr w:rsidR="00FD0189" w14:paraId="0E2BBA13" w14:textId="77777777">
              <w:tc>
                <w:tcPr>
                  <w:tcW w:w="3643" w:type="dxa"/>
                </w:tcPr>
                <w:p w14:paraId="0B90EA1A" w14:textId="77777777" w:rsidR="00FD0189" w:rsidRDefault="00000000">
                  <w:pPr>
                    <w:pStyle w:val="Compact"/>
                    <w:jc w:val="center"/>
                  </w:pPr>
                  <w:r>
                    <w:t>5</w:t>
                  </w:r>
                </w:p>
              </w:tc>
              <w:tc>
                <w:tcPr>
                  <w:tcW w:w="2296" w:type="dxa"/>
                </w:tcPr>
                <w:p w14:paraId="5171AE2D" w14:textId="77777777" w:rsidR="00FD0189" w:rsidRDefault="00000000">
                  <w:pPr>
                    <w:pStyle w:val="Compact"/>
                    <w:jc w:val="center"/>
                  </w:pPr>
                  <w:r>
                    <w:t>50</w:t>
                  </w:r>
                </w:p>
              </w:tc>
              <w:tc>
                <w:tcPr>
                  <w:tcW w:w="1980" w:type="dxa"/>
                </w:tcPr>
                <w:p w14:paraId="1133E02C" w14:textId="77777777" w:rsidR="00FD0189" w:rsidRDefault="00000000">
                  <w:pPr>
                    <w:pStyle w:val="Compact"/>
                    <w:jc w:val="center"/>
                  </w:pPr>
                  <w:r>
                    <w:t>200</w:t>
                  </w:r>
                </w:p>
              </w:tc>
            </w:tr>
            <w:bookmarkEnd w:id="40"/>
          </w:tbl>
          <w:p w14:paraId="3E8E2652" w14:textId="77777777" w:rsidR="00FD0189" w:rsidRDefault="00FD0189"/>
        </w:tc>
      </w:tr>
    </w:tbl>
    <w:p w14:paraId="185EDC72" w14:textId="77777777" w:rsidR="00FD0189" w:rsidRDefault="00000000">
      <w:pPr>
        <w:pStyle w:val="BodyText"/>
      </w:pPr>
      <w:r>
        <w:t xml:space="preserve"> </w:t>
      </w:r>
    </w:p>
    <w:tbl>
      <w:tblPr>
        <w:tblStyle w:val="Table"/>
        <w:tblW w:w="5000" w:type="pct"/>
        <w:tblLayout w:type="fixed"/>
        <w:tblLook w:val="0020" w:firstRow="1" w:lastRow="0" w:firstColumn="0" w:lastColumn="0" w:noHBand="0" w:noVBand="0"/>
      </w:tblPr>
      <w:tblGrid>
        <w:gridCol w:w="9360"/>
      </w:tblGrid>
      <w:tr w:rsidR="00FD0189" w14:paraId="2B9217D4" w14:textId="77777777" w:rsidTr="007D0981">
        <w:trPr>
          <w:cnfStyle w:val="100000000000" w:firstRow="1" w:lastRow="0" w:firstColumn="0" w:lastColumn="0" w:oddVBand="0" w:evenVBand="0" w:oddHBand="0" w:evenHBand="0" w:firstRowFirstColumn="0" w:firstRowLastColumn="0" w:lastRowFirstColumn="0" w:lastRowLastColumn="0"/>
        </w:trPr>
        <w:tc>
          <w:tcPr>
            <w:tcW w:w="7920" w:type="dxa"/>
          </w:tcPr>
          <w:p w14:paraId="0A3BD111" w14:textId="77777777" w:rsidR="00FD0189" w:rsidRDefault="00000000">
            <w:pPr>
              <w:pStyle w:val="ImageCaption"/>
              <w:spacing w:before="200"/>
            </w:pPr>
            <w:bookmarkStart w:id="41" w:name="tbl-bh2"/>
            <w:r>
              <w:lastRenderedPageBreak/>
              <w:t xml:space="preserve">Table 2.2: Bet Hedging. Summary statistics for the data in </w:t>
            </w:r>
            <w:hyperlink w:anchor="tbl-bh1">
              <w:r>
                <w:rPr>
                  <w:rStyle w:val="Hyperlink"/>
                </w:rPr>
                <w:t>Table 2.1</w:t>
              </w:r>
            </w:hyperlink>
            <w:r>
              <w:t>.</w:t>
            </w:r>
          </w:p>
          <w:tbl>
            <w:tblPr>
              <w:tblStyle w:val="Table"/>
              <w:tblW w:w="0" w:type="auto"/>
              <w:tblLayout w:type="fixed"/>
              <w:tblLook w:val="0020" w:firstRow="1" w:lastRow="0" w:firstColumn="0" w:lastColumn="0" w:noHBand="0" w:noVBand="0"/>
            </w:tblPr>
            <w:tblGrid>
              <w:gridCol w:w="2640"/>
              <w:gridCol w:w="2640"/>
              <w:gridCol w:w="2640"/>
            </w:tblGrid>
            <w:tr w:rsidR="00FD0189" w14:paraId="2B970B95" w14:textId="77777777" w:rsidTr="00FD0189">
              <w:trPr>
                <w:cnfStyle w:val="100000000000" w:firstRow="1" w:lastRow="0" w:firstColumn="0" w:lastColumn="0" w:oddVBand="0" w:evenVBand="0" w:oddHBand="0" w:evenHBand="0" w:firstRowFirstColumn="0" w:firstRowLastColumn="0" w:lastRowFirstColumn="0" w:lastRowLastColumn="0"/>
                <w:tblHeader/>
              </w:trPr>
              <w:tc>
                <w:tcPr>
                  <w:tcW w:w="2640" w:type="dxa"/>
                </w:tcPr>
                <w:p w14:paraId="33D02FE0" w14:textId="77777777" w:rsidR="00FD0189" w:rsidRDefault="00FD0189">
                  <w:pPr>
                    <w:pStyle w:val="Compact"/>
                  </w:pPr>
                </w:p>
              </w:tc>
              <w:tc>
                <w:tcPr>
                  <w:tcW w:w="2640" w:type="dxa"/>
                </w:tcPr>
                <w:p w14:paraId="54C96EC7" w14:textId="77777777" w:rsidR="00FD0189" w:rsidRDefault="00000000">
                  <w:pPr>
                    <w:pStyle w:val="Compact"/>
                    <w:jc w:val="center"/>
                  </w:pPr>
                  <w:r>
                    <w:t>Monoculture</w:t>
                  </w:r>
                </w:p>
              </w:tc>
              <w:tc>
                <w:tcPr>
                  <w:tcW w:w="2640" w:type="dxa"/>
                </w:tcPr>
                <w:p w14:paraId="4EABB04B" w14:textId="77777777" w:rsidR="00FD0189" w:rsidRDefault="00000000">
                  <w:pPr>
                    <w:pStyle w:val="Compact"/>
                    <w:jc w:val="center"/>
                  </w:pPr>
                  <w:r>
                    <w:t>Polyculture</w:t>
                  </w:r>
                </w:p>
              </w:tc>
            </w:tr>
            <w:tr w:rsidR="00FD0189" w14:paraId="05ED6BCD" w14:textId="77777777">
              <w:tc>
                <w:tcPr>
                  <w:tcW w:w="2640" w:type="dxa"/>
                </w:tcPr>
                <w:p w14:paraId="5CA420E7" w14:textId="77777777" w:rsidR="00FD0189" w:rsidRDefault="00000000">
                  <w:pPr>
                    <w:pStyle w:val="Compact"/>
                    <w:jc w:val="center"/>
                  </w:pPr>
                  <w:r>
                    <w:rPr>
                      <w:b/>
                      <w:bCs/>
                    </w:rPr>
                    <w:t>Arithmetic mean</w:t>
                  </w:r>
                </w:p>
              </w:tc>
              <w:tc>
                <w:tcPr>
                  <w:tcW w:w="2640" w:type="dxa"/>
                </w:tcPr>
                <w:p w14:paraId="1F8F2C97" w14:textId="77777777" w:rsidR="00FD0189" w:rsidRDefault="00000000">
                  <w:pPr>
                    <w:pStyle w:val="Compact"/>
                    <w:jc w:val="center"/>
                  </w:pPr>
                  <w:r>
                    <w:t>240</w:t>
                  </w:r>
                </w:p>
              </w:tc>
              <w:tc>
                <w:tcPr>
                  <w:tcW w:w="2640" w:type="dxa"/>
                </w:tcPr>
                <w:p w14:paraId="52AE5B32" w14:textId="77777777" w:rsidR="00FD0189" w:rsidRDefault="00000000">
                  <w:pPr>
                    <w:pStyle w:val="Compact"/>
                    <w:jc w:val="center"/>
                  </w:pPr>
                  <w:r>
                    <w:t>220</w:t>
                  </w:r>
                </w:p>
              </w:tc>
            </w:tr>
            <w:tr w:rsidR="00FD0189" w14:paraId="1C6CB385" w14:textId="77777777">
              <w:tc>
                <w:tcPr>
                  <w:tcW w:w="2640" w:type="dxa"/>
                </w:tcPr>
                <w:p w14:paraId="004D5AC3" w14:textId="77777777" w:rsidR="00FD0189" w:rsidRDefault="00000000">
                  <w:pPr>
                    <w:pStyle w:val="Compact"/>
                    <w:jc w:val="center"/>
                  </w:pPr>
                  <w:r>
                    <w:rPr>
                      <w:b/>
                      <w:bCs/>
                    </w:rPr>
                    <w:t>Variance</w:t>
                  </w:r>
                  <w:r>
                    <w:rPr>
                      <w:rStyle w:val="FootnoteReference"/>
                    </w:rPr>
                    <w:footnoteReference w:id="9"/>
                  </w:r>
                </w:p>
              </w:tc>
              <w:tc>
                <w:tcPr>
                  <w:tcW w:w="2640" w:type="dxa"/>
                </w:tcPr>
                <w:p w14:paraId="329FA2AA" w14:textId="77777777" w:rsidR="00FD0189" w:rsidRDefault="00000000">
                  <w:pPr>
                    <w:pStyle w:val="Compact"/>
                    <w:jc w:val="center"/>
                  </w:pPr>
                  <w:r>
                    <w:t>19400</w:t>
                  </w:r>
                </w:p>
              </w:tc>
              <w:tc>
                <w:tcPr>
                  <w:tcW w:w="2640" w:type="dxa"/>
                </w:tcPr>
                <w:p w14:paraId="31301399" w14:textId="77777777" w:rsidR="00FD0189" w:rsidRDefault="00000000">
                  <w:pPr>
                    <w:pStyle w:val="Compact"/>
                    <w:jc w:val="center"/>
                  </w:pPr>
                  <w:r>
                    <w:t>600</w:t>
                  </w:r>
                </w:p>
              </w:tc>
            </w:tr>
            <w:tr w:rsidR="00FD0189" w14:paraId="75755DF5" w14:textId="77777777">
              <w:tc>
                <w:tcPr>
                  <w:tcW w:w="2640" w:type="dxa"/>
                </w:tcPr>
                <w:p w14:paraId="112FAE1E" w14:textId="77777777" w:rsidR="00FD0189" w:rsidRDefault="00000000">
                  <w:pPr>
                    <w:pStyle w:val="Compact"/>
                    <w:jc w:val="center"/>
                  </w:pPr>
                  <w:r>
                    <w:rPr>
                      <w:b/>
                      <w:bCs/>
                    </w:rPr>
                    <w:t>Geometric mean (GM)</w:t>
                  </w:r>
                  <w:r>
                    <w:rPr>
                      <w:rStyle w:val="FootnoteReference"/>
                    </w:rPr>
                    <w:footnoteReference w:id="10"/>
                  </w:r>
                </w:p>
              </w:tc>
              <w:tc>
                <w:tcPr>
                  <w:tcW w:w="2640" w:type="dxa"/>
                </w:tcPr>
                <w:p w14:paraId="6D375C3C" w14:textId="77777777" w:rsidR="00FD0189" w:rsidRDefault="00000000">
                  <w:pPr>
                    <w:pStyle w:val="Compact"/>
                    <w:jc w:val="center"/>
                  </w:pPr>
                  <w:r>
                    <w:t>184</w:t>
                  </w:r>
                </w:p>
              </w:tc>
              <w:tc>
                <w:tcPr>
                  <w:tcW w:w="2640" w:type="dxa"/>
                </w:tcPr>
                <w:p w14:paraId="7FDA517E" w14:textId="77777777" w:rsidR="00FD0189" w:rsidRDefault="00000000">
                  <w:pPr>
                    <w:pStyle w:val="Compact"/>
                    <w:jc w:val="center"/>
                  </w:pPr>
                  <w:r>
                    <w:t>219</w:t>
                  </w:r>
                </w:p>
              </w:tc>
            </w:tr>
            <w:tr w:rsidR="00FD0189" w14:paraId="235B5AB2" w14:textId="77777777">
              <w:tc>
                <w:tcPr>
                  <w:tcW w:w="2640" w:type="dxa"/>
                </w:tcPr>
                <w:p w14:paraId="32A284B4" w14:textId="77777777" w:rsidR="00FD0189" w:rsidRDefault="00000000">
                  <w:pPr>
                    <w:pStyle w:val="Compact"/>
                    <w:jc w:val="center"/>
                  </w:pPr>
                  <w:r>
                    <w:rPr>
                      <w:b/>
                      <w:bCs/>
                    </w:rPr>
                    <w:t>Approximate GM</w:t>
                  </w:r>
                </w:p>
              </w:tc>
              <w:tc>
                <w:tcPr>
                  <w:tcW w:w="2640" w:type="dxa"/>
                </w:tcPr>
                <w:p w14:paraId="1FC9BB3E" w14:textId="77777777" w:rsidR="00FD0189" w:rsidRDefault="00000000">
                  <w:pPr>
                    <w:pStyle w:val="Compact"/>
                    <w:jc w:val="center"/>
                  </w:pPr>
                  <w:r>
                    <w:t>200</w:t>
                  </w:r>
                </w:p>
              </w:tc>
              <w:tc>
                <w:tcPr>
                  <w:tcW w:w="2640" w:type="dxa"/>
                </w:tcPr>
                <w:p w14:paraId="192108CD" w14:textId="77777777" w:rsidR="00FD0189" w:rsidRDefault="00000000">
                  <w:pPr>
                    <w:pStyle w:val="Compact"/>
                    <w:jc w:val="center"/>
                  </w:pPr>
                  <w:r>
                    <w:t>219</w:t>
                  </w:r>
                </w:p>
              </w:tc>
            </w:tr>
            <w:bookmarkEnd w:id="41"/>
          </w:tbl>
          <w:p w14:paraId="02B31750" w14:textId="77777777" w:rsidR="00FD0189" w:rsidRDefault="00FD0189"/>
        </w:tc>
      </w:tr>
    </w:tbl>
    <w:p w14:paraId="1EA8E99A" w14:textId="77777777" w:rsidR="00FD0189" w:rsidRDefault="00000000">
      <w:pPr>
        <w:pStyle w:val="BodyText"/>
      </w:pPr>
      <w:r>
        <w:t>The effect of variance on the geometric mean (GM) can be seen by an approximation (</w:t>
      </w:r>
      <w:hyperlink w:anchor="ref-stearns2000a">
        <w:r>
          <w:rPr>
            <w:rStyle w:val="Hyperlink"/>
          </w:rPr>
          <w:t>Stearns 2000</w:t>
        </w:r>
      </w:hyperlink>
      <w:r>
        <w:t>):</w:t>
      </w:r>
    </w:p>
    <w:p w14:paraId="51166B4C" w14:textId="77777777" w:rsidR="00FD0189" w:rsidRDefault="00000000">
      <w:pPr>
        <w:pStyle w:val="BodyText"/>
      </w:pPr>
      <m:oMathPara>
        <m:oMathParaPr>
          <m:jc m:val="center"/>
        </m:oMathParaPr>
        <m:oMath>
          <m:r>
            <m:rPr>
              <m:nor/>
            </m:rPr>
            <m:t>GM</m:t>
          </m:r>
          <m:r>
            <m:rPr>
              <m:sty m:val="p"/>
            </m:rPr>
            <w:rPr>
              <w:rFonts w:ascii="Latin Modern Math" w:hAnsi="Latin Modern Math"/>
            </w:rPr>
            <m:t>≈</m:t>
          </m:r>
          <m:bar>
            <m:barPr>
              <m:pos m:val="top"/>
              <m:ctrlPr>
                <w:rPr>
                  <w:rFonts w:ascii="Latin Modern Math" w:hAnsi="Latin Modern Math"/>
                </w:rPr>
              </m:ctrlPr>
            </m:barPr>
            <m:e>
              <m:r>
                <w:rPr>
                  <w:rFonts w:ascii="Latin Modern Math" w:hAnsi="Latin Modern Math"/>
                </w:rPr>
                <m:t>x</m:t>
              </m:r>
            </m:e>
          </m:bar>
          <m:r>
            <m:rPr>
              <m:sty m:val="p"/>
            </m:rPr>
            <w:rPr>
              <w:rFonts w:ascii="Latin Modern Math" w:hAnsi="Latin Modern Math"/>
            </w:rPr>
            <m:t>-</m:t>
          </m:r>
          <m:f>
            <m:fPr>
              <m:ctrlPr>
                <w:rPr>
                  <w:rFonts w:ascii="Latin Modern Math" w:hAnsi="Latin Modern Math"/>
                </w:rPr>
              </m:ctrlPr>
            </m:fPr>
            <m:num>
              <m:r>
                <m:rPr>
                  <m:nor/>
                </m:rPr>
                <m:t>var</m:t>
              </m:r>
              <m:d>
                <m:dPr>
                  <m:ctrlPr>
                    <w:rPr>
                      <w:rFonts w:ascii="Latin Modern Math" w:hAnsi="Latin Modern Math"/>
                    </w:rPr>
                  </m:ctrlPr>
                </m:dPr>
                <m:e>
                  <m:r>
                    <w:rPr>
                      <w:rFonts w:ascii="Latin Modern Math" w:hAnsi="Latin Modern Math"/>
                    </w:rPr>
                    <m:t>x</m:t>
                  </m:r>
                </m:e>
              </m:d>
            </m:num>
            <m:den>
              <m:r>
                <w:rPr>
                  <w:rFonts w:ascii="Latin Modern Math" w:hAnsi="Latin Modern Math"/>
                </w:rPr>
                <m:t>2</m:t>
              </m:r>
              <m:bar>
                <m:barPr>
                  <m:pos m:val="top"/>
                  <m:ctrlPr>
                    <w:rPr>
                      <w:rFonts w:ascii="Latin Modern Math" w:hAnsi="Latin Modern Math"/>
                    </w:rPr>
                  </m:ctrlPr>
                </m:barPr>
                <m:e>
                  <m:r>
                    <w:rPr>
                      <w:rFonts w:ascii="Latin Modern Math" w:hAnsi="Latin Modern Math"/>
                    </w:rPr>
                    <m:t>x</m:t>
                  </m:r>
                </m:e>
              </m:bar>
            </m:den>
          </m:f>
        </m:oMath>
      </m:oMathPara>
    </w:p>
    <w:p w14:paraId="641F1ED8" w14:textId="77777777" w:rsidR="00FD0189" w:rsidRDefault="00000000">
      <w:pPr>
        <w:pStyle w:val="FirstParagraph"/>
      </w:pPr>
      <w:r>
        <w:t xml:space="preserve">where </w:t>
      </w:r>
      <m:oMath>
        <m:bar>
          <m:barPr>
            <m:pos m:val="top"/>
            <m:ctrlPr>
              <w:rPr>
                <w:rFonts w:ascii="Latin Modern Math" w:hAnsi="Latin Modern Math"/>
              </w:rPr>
            </m:ctrlPr>
          </m:barPr>
          <m:e>
            <m:r>
              <w:rPr>
                <w:rFonts w:ascii="Latin Modern Math" w:hAnsi="Latin Modern Math"/>
              </w:rPr>
              <m:t>x</m:t>
            </m:r>
          </m:e>
        </m:bar>
      </m:oMath>
      <w:r>
        <w:t xml:space="preserve"> is the mean, and var(</w:t>
      </w:r>
      <m:oMath>
        <m:r>
          <w:rPr>
            <w:rFonts w:ascii="Latin Modern Math" w:hAnsi="Latin Modern Math"/>
          </w:rPr>
          <m:t>x</m:t>
        </m:r>
      </m:oMath>
      <w:r>
        <w:t>) is the vari</w:t>
      </w:r>
      <w:proofErr w:type="spellStart"/>
      <w:r>
        <w:t>ance</w:t>
      </w:r>
      <w:proofErr w:type="spellEnd"/>
      <w:r>
        <w:t xml:space="preserve"> in </w:t>
      </w:r>
      <m:oMath>
        <m:r>
          <w:rPr>
            <w:rFonts w:ascii="Latin Modern Math" w:hAnsi="Latin Modern Math"/>
          </w:rPr>
          <m:t>x</m:t>
        </m:r>
      </m:oMath>
      <w:r>
        <w:t xml:space="preserve">. Note that the approximation is equal to the arithmetic mean when the variance in </w:t>
      </w:r>
      <m:oMath>
        <m:r>
          <w:rPr>
            <w:rFonts w:ascii="Latin Modern Math" w:hAnsi="Latin Modern Math"/>
          </w:rPr>
          <m:t>x</m:t>
        </m:r>
      </m:oMath>
      <w:r>
        <w:t xml:space="preserve"> is zero. Note too that the geometric mean increases as the variance in </w:t>
      </w:r>
      <m:oMath>
        <m:r>
          <w:rPr>
            <w:rFonts w:ascii="Latin Modern Math" w:hAnsi="Latin Modern Math"/>
          </w:rPr>
          <m:t>x</m:t>
        </m:r>
      </m:oMath>
      <w:r>
        <w:t xml:space="preserve"> decreases. So, if selection operates to reduce the among-year variance in fitness, the outcome of selection will be reflected by an increase in the geometric mean. In general, evolutionary biologists use the geometric mean (rather than the arithmetic mean) to measure fitness over time.</w:t>
      </w:r>
      <w:r>
        <w:rPr>
          <w:rStyle w:val="FootnoteReference"/>
        </w:rPr>
        <w:footnoteReference w:id="11"/>
      </w:r>
    </w:p>
    <w:p w14:paraId="18EF3550" w14:textId="77777777" w:rsidR="00FD0189" w:rsidRDefault="00000000">
      <w:pPr>
        <w:pStyle w:val="BodyText"/>
      </w:pPr>
      <w:r>
        <w:t xml:space="preserve">Can sex be favored in variable environments as a bet-hedging strategy? It seems like a very sensible idea provided that the production of genetically variable progeny reduces the among-year variance in offspring survival. But remember, under a two-fold cost of sex, </w:t>
      </w:r>
      <w:proofErr w:type="spellStart"/>
      <w:r>
        <w:t>asexuals</w:t>
      </w:r>
      <w:proofErr w:type="spellEnd"/>
      <w:r>
        <w:t xml:space="preserve"> can replace large populations of </w:t>
      </w:r>
      <w:proofErr w:type="spellStart"/>
      <w:r>
        <w:t>sexuals</w:t>
      </w:r>
      <w:proofErr w:type="spellEnd"/>
      <w:r>
        <w:t xml:space="preserve"> in tens of generations (see </w:t>
      </w:r>
      <w:hyperlink w:anchor="sec-why-sex">
        <w:r>
          <w:rPr>
            <w:rStyle w:val="Hyperlink"/>
          </w:rPr>
          <w:t>Chapter 1</w:t>
        </w:r>
      </w:hyperlink>
      <w:r>
        <w:t>). So, if the Lottery Model is correct, significant environmental change must occur very rapidly. The many thousands of years between ice ages, for example, would be too long.</w:t>
      </w:r>
    </w:p>
    <w:p w14:paraId="2BDD06AB" w14:textId="77777777" w:rsidR="00FD0189" w:rsidRDefault="00000000">
      <w:pPr>
        <w:pStyle w:val="Heading2"/>
      </w:pPr>
      <w:bookmarkStart w:id="42" w:name="sec-niche"/>
      <w:bookmarkStart w:id="43" w:name="_Toc159248493"/>
      <w:bookmarkEnd w:id="38"/>
      <w:r>
        <w:t>2.2 The Tangled Bank / Frozen Niche-Variation Model</w:t>
      </w:r>
      <w:bookmarkEnd w:id="43"/>
    </w:p>
    <w:p w14:paraId="5955A855" w14:textId="77777777" w:rsidR="00FD0189" w:rsidRDefault="00000000">
      <w:pPr>
        <w:pStyle w:val="FirstParagraph"/>
      </w:pPr>
      <w:r>
        <w:t xml:space="preserve">Roughly speaking, the Lottery Model concerns the value of producing diverse offspring in a temporally variable abiotic environment. A different kind of model instead concerns the role of competition for different resource types that vary in space. Let us first consider the Frozen Niche-Variation Hypothesis of Robert </w:t>
      </w:r>
      <w:proofErr w:type="spellStart"/>
      <w:r>
        <w:t>Vrijenhoek</w:t>
      </w:r>
      <w:proofErr w:type="spellEnd"/>
      <w:r>
        <w:t xml:space="preserve">. The key idea is that the clonal derivatives of sexual </w:t>
      </w:r>
      <w:proofErr w:type="gramStart"/>
      <w:r>
        <w:t>ancestors</w:t>
      </w:r>
      <w:proofErr w:type="gramEnd"/>
      <w:r>
        <w:t xml:space="preserve"> “freeze” some of the genetic variation in the sexual population. This frozen genotype </w:t>
      </w:r>
      <w:r>
        <w:lastRenderedPageBreak/>
        <w:t>then determines the resource niche of the clone. It seems reasonable to assume that the niche width of a single clone would be narrow relative to the niche width of the genetically diverse sexual population. So, under this idea, a clone could invade a sexual population and perhaps displace it from one of its many niches. But a single clone could not completely replace the sexual population (</w:t>
      </w:r>
      <w:proofErr w:type="spellStart"/>
      <w:r>
        <w:fldChar w:fldCharType="begin"/>
      </w:r>
      <w:r>
        <w:instrText>HYPERLINK \l "ref-vrijenhoek1979a" \h</w:instrText>
      </w:r>
      <w:r>
        <w:fldChar w:fldCharType="separate"/>
      </w:r>
      <w:r>
        <w:rPr>
          <w:rStyle w:val="Hyperlink"/>
        </w:rPr>
        <w:t>Vrijenhoek</w:t>
      </w:r>
      <w:proofErr w:type="spellEnd"/>
      <w:r>
        <w:rPr>
          <w:rStyle w:val="Hyperlink"/>
        </w:rPr>
        <w:t xml:space="preserve"> 1979</w:t>
      </w:r>
      <w:r>
        <w:rPr>
          <w:rStyle w:val="Hyperlink"/>
        </w:rPr>
        <w:fldChar w:fldCharType="end"/>
      </w:r>
      <w:r>
        <w:t>). This kind of process could explain those situations in which sexual and asexual females coexist, which was a major advance.</w:t>
      </w:r>
      <w:r>
        <w:rPr>
          <w:rStyle w:val="FootnoteReference"/>
        </w:rPr>
        <w:footnoteReference w:id="12"/>
      </w:r>
    </w:p>
    <w:p w14:paraId="4627B964" w14:textId="77777777" w:rsidR="00FD0189" w:rsidRDefault="00000000">
      <w:pPr>
        <w:pStyle w:val="BodyText"/>
      </w:pPr>
      <w:r>
        <w:t>A conceptually similar model was independently developed by Graham Bell (</w:t>
      </w:r>
      <w:hyperlink w:anchor="ref-bell1982a">
        <w:r>
          <w:rPr>
            <w:rStyle w:val="Hyperlink"/>
          </w:rPr>
          <w:t>1982</w:t>
        </w:r>
      </w:hyperlink>
      <w:r>
        <w:t xml:space="preserve">): the Tangled Bank Hypothesis. Bell nabbed the name from the last paragraph of the </w:t>
      </w:r>
      <w:r>
        <w:rPr>
          <w:i/>
          <w:iCs/>
        </w:rPr>
        <w:t>Origin of Species</w:t>
      </w:r>
      <w:r>
        <w:t xml:space="preserve">, in which Darwin imagines life as an “entangled bank” of species interacting in a complex network. The core of the idea can be traced back to Howard </w:t>
      </w:r>
      <w:proofErr w:type="spellStart"/>
      <w:r>
        <w:t>Levene’s</w:t>
      </w:r>
      <w:proofErr w:type="spellEnd"/>
      <w:r>
        <w:t xml:space="preserve"> (</w:t>
      </w:r>
      <w:hyperlink w:anchor="ref-levene1953a">
        <w:r>
          <w:rPr>
            <w:rStyle w:val="Hyperlink"/>
          </w:rPr>
          <w:t>1953</w:t>
        </w:r>
      </w:hyperlink>
      <w:r>
        <w:t xml:space="preserve">) pioneering model, which showed that polymorphism could be maintained in a spatially heterogeneous environment provided that different genotypes specialize on different resources. </w:t>
      </w:r>
      <w:proofErr w:type="spellStart"/>
      <w:r>
        <w:t>Levene’s</w:t>
      </w:r>
      <w:proofErr w:type="spellEnd"/>
      <w:r>
        <w:t xml:space="preserve"> model was a major advance, as it showed that genetic diversity could be maintained without heterozygote advantage (</w:t>
      </w:r>
      <w:hyperlink w:anchor="sec-app-2">
        <w:r>
          <w:rPr>
            <w:rStyle w:val="Hyperlink"/>
          </w:rPr>
          <w:t>Section 2.5</w:t>
        </w:r>
      </w:hyperlink>
      <w:r>
        <w:t>). This was also one of the first models to fuse population genetics with ecology. But how does multiple niche polymorphism apply to sex? The idea is that if selection results in polymorphism, then a genetically diverse sexual population might be resistant to replacement by a clonal lineage that specializes on only one of the available resource types (as also in the Frozen Niche-Variation Model).</w:t>
      </w:r>
    </w:p>
    <w:p w14:paraId="7D001C79" w14:textId="77777777" w:rsidR="00FD0189" w:rsidRDefault="00000000">
      <w:pPr>
        <w:pStyle w:val="BodyText"/>
      </w:pPr>
      <w:r>
        <w:t xml:space="preserve">Here is how I pose the Tangled Bank idea to my undergraduate students. I start by giving them a choice between two hypothetical resources, which occur in different parts of the room. One is pizza, the other is broccoli. They all choose pizza. The problem, of course, is that the per-person value of the pizza resource declines as the pizza-eating population grows. At some point, there will be an advantage to specializing on broccoli. This could lead to a polymorphic population composed of obligate pizza eaters and obligate broccoli eaters, where (at equilibrium) the value of both resources is the same. Hence, selection for or against a particular strategy depends on the frequency of that strategy in the population. Perhaps this kind of “frequency-dependent selection” could favor sexual reproduction </w:t>
      </w:r>
      <w:proofErr w:type="gramStart"/>
      <w:r>
        <w:t>as a way to</w:t>
      </w:r>
      <w:proofErr w:type="gramEnd"/>
      <w:r>
        <w:t xml:space="preserve"> diversify offspring in environments where different resource types are patchily distributed in space. This reasoning forms the essence of the Tangled Bank Hypothesis.</w:t>
      </w:r>
    </w:p>
    <w:p w14:paraId="0851446C" w14:textId="77777777" w:rsidR="00FD0189" w:rsidRDefault="00000000">
      <w:pPr>
        <w:pStyle w:val="BodyText"/>
      </w:pPr>
      <w:r>
        <w:t xml:space="preserve">One especially interesting aspect of the Tangled Bank Model is that the strength of frequency-dependent selection depends on population density. For example, there would be no selection to utilize the resource of lower value (broccoli) if there were no competition for pizza. This kind of selection, where the advantage to being rare depends on population density, is sometimes referred </w:t>
      </w:r>
      <w:r>
        <w:lastRenderedPageBreak/>
        <w:t>to as “soft” selection (</w:t>
      </w:r>
      <w:hyperlink w:anchor="ref-wallace1975a">
        <w:r>
          <w:rPr>
            <w:rStyle w:val="Hyperlink"/>
          </w:rPr>
          <w:t>Wallace 1975</w:t>
        </w:r>
      </w:hyperlink>
      <w:r>
        <w:t>).</w:t>
      </w:r>
      <w:r>
        <w:rPr>
          <w:rStyle w:val="FootnoteReference"/>
        </w:rPr>
        <w:footnoteReference w:id="13"/>
      </w:r>
      <w:r>
        <w:t xml:space="preserve"> In other words, soft selection is selection that is both frequency-dependent and density-dependent. This idea contrasts nicely with the Lottery Model, where selection is both frequency- and density-independent, which is called “hard” selection. For our purposes, we can use Wallace’s terminology to conceptually separate the Tangled Bank Hypothesis from the Lottery Model </w:t>
      </w:r>
      <w:hyperlink w:anchor="fig-2-2">
        <w:r>
          <w:rPr>
            <w:rStyle w:val="Hyperlink"/>
          </w:rPr>
          <w:t>Figure 2.1</w:t>
        </w:r>
      </w:hyperlink>
      <w:r>
        <w:t>.</w:t>
      </w:r>
    </w:p>
    <w:tbl>
      <w:tblPr>
        <w:tblStyle w:val="Table"/>
        <w:tblW w:w="5000" w:type="pct"/>
        <w:tblLayout w:type="fixed"/>
        <w:tblLook w:val="0000" w:firstRow="0" w:lastRow="0" w:firstColumn="0" w:lastColumn="0" w:noHBand="0" w:noVBand="0"/>
      </w:tblPr>
      <w:tblGrid>
        <w:gridCol w:w="9360"/>
      </w:tblGrid>
      <w:tr w:rsidR="00FD0189" w14:paraId="1E2479EF" w14:textId="77777777">
        <w:tc>
          <w:tcPr>
            <w:tcW w:w="7920" w:type="dxa"/>
          </w:tcPr>
          <w:p w14:paraId="30BA9D74" w14:textId="77777777" w:rsidR="00FD0189" w:rsidRDefault="00000000">
            <w:pPr>
              <w:pStyle w:val="Compact"/>
              <w:jc w:val="center"/>
            </w:pPr>
            <w:bookmarkStart w:id="44" w:name="fig-2-2"/>
            <w:r>
              <w:rPr>
                <w:noProof/>
              </w:rPr>
              <w:drawing>
                <wp:inline distT="0" distB="0" distL="0" distR="0" wp14:anchorId="7EEC0942" wp14:editId="4BD54726">
                  <wp:extent cx="3566160" cy="3448697"/>
                  <wp:effectExtent l="0" t="0" r="0" b="0"/>
                  <wp:docPr id="94" name="Picture" descr="Diagram of four possibilities derived from crossing density-dependent and density-independent selection with frequency-dependent and frequency-independent selection."/>
                  <wp:cNvGraphicFramePr/>
                  <a:graphic xmlns:a="http://schemas.openxmlformats.org/drawingml/2006/main">
                    <a:graphicData uri="http://schemas.openxmlformats.org/drawingml/2006/picture">
                      <pic:pic xmlns:pic="http://schemas.openxmlformats.org/drawingml/2006/picture">
                        <pic:nvPicPr>
                          <pic:cNvPr id="94" name="Picture" descr="Diagram of four possibilities derived from crossing density-dependent and density-independent selection with frequency-dependent and frequency-independent selection."/>
                          <pic:cNvPicPr>
                            <a:picLocks noChangeAspect="1" noChangeArrowheads="1"/>
                          </pic:cNvPicPr>
                        </pic:nvPicPr>
                        <pic:blipFill>
                          <a:blip r:embed="rId38"/>
                          <a:stretch>
                            <a:fillRect/>
                          </a:stretch>
                        </pic:blipFill>
                        <pic:spPr bwMode="auto">
                          <a:xfrm>
                            <a:off x="0" y="0"/>
                            <a:ext cx="3566160" cy="3448697"/>
                          </a:xfrm>
                          <a:prstGeom prst="rect">
                            <a:avLst/>
                          </a:prstGeom>
                          <a:noFill/>
                          <a:ln w="9525">
                            <a:noFill/>
                            <a:headEnd/>
                            <a:tailEnd/>
                          </a:ln>
                        </pic:spPr>
                      </pic:pic>
                    </a:graphicData>
                  </a:graphic>
                </wp:inline>
              </w:drawing>
            </w:r>
          </w:p>
          <w:p w14:paraId="02374A27" w14:textId="77777777" w:rsidR="00FD0189" w:rsidRDefault="00000000">
            <w:pPr>
              <w:pStyle w:val="ImageCaption"/>
              <w:spacing w:before="200"/>
            </w:pPr>
            <w:r>
              <w:t>Figure 2.1: Partitioning the ecological hypotheses for the maintenance of obligate sexual reproduction. The figure is redrawn from Wallace (</w:t>
            </w:r>
            <w:hyperlink w:anchor="ref-wallace1975a">
              <w:r>
                <w:rPr>
                  <w:rStyle w:val="Hyperlink"/>
                </w:rPr>
                <w:t>1975</w:t>
              </w:r>
            </w:hyperlink>
            <w:r>
              <w:t>). The inserted red text shows how the ecological hypotheses fit into Wallace’s matrix for density-dependent selection versus frequency-dependent selection. The Lottery Model relies on hard selection in temporally variable environments. The Tangled Bank relies on soft selection in spatially variable environments. The Red Queen relies on frequency-dependent selection generated by coevolving antagonistic species.</w:t>
            </w:r>
          </w:p>
        </w:tc>
        <w:bookmarkEnd w:id="44"/>
      </w:tr>
    </w:tbl>
    <w:p w14:paraId="78668F67" w14:textId="77777777" w:rsidR="00FD0189" w:rsidRDefault="00000000">
      <w:pPr>
        <w:pStyle w:val="BodyText"/>
      </w:pPr>
      <w:r>
        <w:t xml:space="preserve">We can think of the contrast like this. Under the Lottery Model, changes in the environment will select against certain genotypes independent of whether they are common or rare. Selection seems unconditional (hard). Under the Tangled Bank, selection is always conditional (soft); there is an advantage to having a rare genotype, but this advantage only accrues under strong competition </w:t>
      </w:r>
      <w:r>
        <w:lastRenderedPageBreak/>
        <w:t>(high density). Soft selection may not be exactly the best possible phrase, but it contrasts nicely with hard selection.</w:t>
      </w:r>
      <w:r>
        <w:rPr>
          <w:rStyle w:val="FootnoteReference"/>
        </w:rPr>
        <w:footnoteReference w:id="14"/>
      </w:r>
    </w:p>
    <w:p w14:paraId="11986180" w14:textId="77777777" w:rsidR="00FD0189" w:rsidRDefault="00000000">
      <w:pPr>
        <w:pStyle w:val="BodyText"/>
      </w:pPr>
      <w:r>
        <w:t>Two caveats are worth mentioning with respect to soft selection and the Tangled Bank Hypothesis. One is that polymorphism is only stable under a narrow range of patch-types frequencies. In addition, strong tradeoffs are required for the cost and benefits for morphs occupying different patches (</w:t>
      </w:r>
      <w:hyperlink w:anchor="ref-lively1986a">
        <w:r>
          <w:rPr>
            <w:rStyle w:val="Hyperlink"/>
          </w:rPr>
          <w:t>Lively 1986a</w:t>
        </w:r>
      </w:hyperlink>
      <w:r>
        <w:t xml:space="preserve">; </w:t>
      </w:r>
      <w:hyperlink w:anchor="ref-maynard1980a">
        <w:r>
          <w:rPr>
            <w:rStyle w:val="Hyperlink"/>
          </w:rPr>
          <w:t>Maynard Smith &amp; Hoekstra 1980</w:t>
        </w:r>
      </w:hyperlink>
      <w:r>
        <w:t xml:space="preserve">) (see also </w:t>
      </w:r>
      <w:hyperlink w:anchor="sec-app-3">
        <w:r>
          <w:rPr>
            <w:rStyle w:val="Hyperlink"/>
          </w:rPr>
          <w:t>Section 3.4</w:t>
        </w:r>
      </w:hyperlink>
      <w:r>
        <w:t>). The second caveat is that repeated mutation to asexual reproduction could lead to the accumulation of clonal diversity over time. Once all the niches are occupied by different specialized clones, there would be no advantage to sex. A diverse clonal population could then replace the sexual population (</w:t>
      </w:r>
      <w:hyperlink w:anchor="ref-bell1982a">
        <w:r>
          <w:rPr>
            <w:rStyle w:val="Hyperlink"/>
          </w:rPr>
          <w:t>Bell 1982</w:t>
        </w:r>
      </w:hyperlink>
      <w:r>
        <w:t xml:space="preserve">; </w:t>
      </w:r>
      <w:hyperlink w:anchor="ref-vrijenhoek2009a">
        <w:proofErr w:type="spellStart"/>
        <w:r>
          <w:rPr>
            <w:rStyle w:val="Hyperlink"/>
          </w:rPr>
          <w:t>Vrijenhoek</w:t>
        </w:r>
        <w:proofErr w:type="spellEnd"/>
        <w:r>
          <w:rPr>
            <w:rStyle w:val="Hyperlink"/>
          </w:rPr>
          <w:t xml:space="preserve"> &amp; Parker 2009</w:t>
        </w:r>
      </w:hyperlink>
      <w:r>
        <w:t xml:space="preserve">). This second caveat applies, in general, to any model of sex that relies on frequency-dependent selection. But the ideas could work if mutations to </w:t>
      </w:r>
      <w:proofErr w:type="spellStart"/>
      <w:r>
        <w:t>asex</w:t>
      </w:r>
      <w:proofErr w:type="spellEnd"/>
      <w:r>
        <w:t xml:space="preserve"> are rare. And, as I mentioned, </w:t>
      </w:r>
      <w:proofErr w:type="spellStart"/>
      <w:r>
        <w:t>sexuals</w:t>
      </w:r>
      <w:proofErr w:type="spellEnd"/>
      <w:r>
        <w:t xml:space="preserve"> and </w:t>
      </w:r>
      <w:proofErr w:type="spellStart"/>
      <w:r>
        <w:t>asexuals</w:t>
      </w:r>
      <w:proofErr w:type="spellEnd"/>
      <w:r>
        <w:t xml:space="preserve"> are known to coexist in some populations, which is consistent with the Tangled Bank and Frozen Niche-Variation Hypotheses (</w:t>
      </w:r>
      <w:proofErr w:type="spellStart"/>
      <w:r>
        <w:fldChar w:fldCharType="begin"/>
      </w:r>
      <w:r>
        <w:instrText>HYPERLINK \l "ref-vrijenhoek2009a" \h</w:instrText>
      </w:r>
      <w:r>
        <w:fldChar w:fldCharType="separate"/>
      </w:r>
      <w:r>
        <w:rPr>
          <w:rStyle w:val="Hyperlink"/>
        </w:rPr>
        <w:t>Vrijenhoek</w:t>
      </w:r>
      <w:proofErr w:type="spellEnd"/>
      <w:r>
        <w:rPr>
          <w:rStyle w:val="Hyperlink"/>
        </w:rPr>
        <w:t xml:space="preserve"> &amp; Parker 2009</w:t>
      </w:r>
      <w:r>
        <w:rPr>
          <w:rStyle w:val="Hyperlink"/>
        </w:rPr>
        <w:fldChar w:fldCharType="end"/>
      </w:r>
      <w:r>
        <w:t>). Coexistence, however, is also compatible with the Red Queen hypothesis, which we will now consider.</w:t>
      </w:r>
    </w:p>
    <w:p w14:paraId="1DE12160" w14:textId="77777777" w:rsidR="00FD0189" w:rsidRDefault="00000000">
      <w:pPr>
        <w:pStyle w:val="Heading2"/>
      </w:pPr>
      <w:bookmarkStart w:id="45" w:name="the-red-queen-hypothesis"/>
      <w:bookmarkStart w:id="46" w:name="_Toc159248494"/>
      <w:bookmarkEnd w:id="42"/>
      <w:r>
        <w:t>2.3 The Red Queen Hypothesis</w:t>
      </w:r>
      <w:bookmarkEnd w:id="46"/>
    </w:p>
    <w:p w14:paraId="60CA2A5A" w14:textId="77777777" w:rsidR="00FD0189" w:rsidRDefault="00000000">
      <w:pPr>
        <w:pStyle w:val="FirstParagraph"/>
      </w:pPr>
      <w:r>
        <w:t>The Red Queen Hypothesis is like the Lottery Model in that it focusses on environmental change over time. However, under the Red Queen idea, the change is mediated by changes in coevolving biological antagonists such as parasites, rather than changes in the abiotic environments.</w:t>
      </w:r>
      <w:r>
        <w:rPr>
          <w:rStyle w:val="FootnoteReference"/>
        </w:rPr>
        <w:footnoteReference w:id="15"/>
      </w:r>
      <w:r>
        <w:t xml:space="preserve"> The distinction is important, as we will see.</w:t>
      </w:r>
    </w:p>
    <w:p w14:paraId="46C7ADAA" w14:textId="77777777" w:rsidR="00FD0189" w:rsidRDefault="00000000">
      <w:pPr>
        <w:pStyle w:val="BodyText"/>
      </w:pPr>
      <w:r>
        <w:t xml:space="preserve">It may be helpful to revisit </w:t>
      </w:r>
      <w:hyperlink w:anchor="fig-1.2">
        <w:r>
          <w:rPr>
            <w:rStyle w:val="Hyperlink"/>
          </w:rPr>
          <w:t>Figure 1.2</w:t>
        </w:r>
      </w:hyperlink>
      <w:r>
        <w:t xml:space="preserve">, which shows the replacement of a sexual population by a clonal lineage within 25 generations. In this example, the clone is a single genotype, while the sexual population is composed of multiple recombining genotypes, only one of which is shared with the clone. Clearly, as the clone spreads, its genotype would become the most common in the host population. Now suppose that the host population is coevolving with a parasite population, which is composed of multiple strains. Assuming random contact between hosts and parasites, the parasite strain that could infect the most common host genotype would have a selective advantage over parasite strains that could only infect rare host genotypes. Let’s call this more successful parasite strain “strain </w:t>
      </w:r>
      <w:r>
        <w:rPr>
          <w:b/>
          <w:bCs/>
        </w:rPr>
        <w:t>A</w:t>
      </w:r>
      <w:r>
        <w:t xml:space="preserve">.” What would happen? It should be easy to see that strain </w:t>
      </w:r>
      <w:r>
        <w:rPr>
          <w:b/>
          <w:bCs/>
        </w:rPr>
        <w:t>A</w:t>
      </w:r>
      <w:r>
        <w:t xml:space="preserve"> would increase in frequency. The parasite population would evolve.</w:t>
      </w:r>
    </w:p>
    <w:p w14:paraId="755E2CF8" w14:textId="77777777" w:rsidR="00FD0189" w:rsidRDefault="00000000">
      <w:pPr>
        <w:pStyle w:val="BodyText"/>
      </w:pPr>
      <w:r>
        <w:t xml:space="preserve">Now, what if the parasite dramatically reduces the reproductive success of infected hosts? We might expect that, as the parasite evolves to infect the most-common host genotype, the </w:t>
      </w:r>
      <w:r>
        <w:lastRenderedPageBreak/>
        <w:t xml:space="preserve">reproductive advantage of a common host clone is eroded. Moreover, if the parasite is </w:t>
      </w:r>
      <w:r>
        <w:rPr>
          <w:i/>
          <w:iCs/>
        </w:rPr>
        <w:t>common and sufficiently virulent</w:t>
      </w:r>
      <w:r>
        <w:t xml:space="preserve">, evolution by the parasite could prevent the clone from eliminating the sexual population. Under this scenario, there are at least two possible outcomes. One is that the </w:t>
      </w:r>
      <w:proofErr w:type="spellStart"/>
      <w:r>
        <w:t>sexuals</w:t>
      </w:r>
      <w:proofErr w:type="spellEnd"/>
      <w:r>
        <w:t xml:space="preserve"> and </w:t>
      </w:r>
      <w:proofErr w:type="spellStart"/>
      <w:r>
        <w:t>asexuals</w:t>
      </w:r>
      <w:proofErr w:type="spellEnd"/>
      <w:r>
        <w:t xml:space="preserve"> come to exist in stable frequencies, where the lost fecundity of the clone due to infection is equal to the cost of males, meaning that the mean </w:t>
      </w:r>
      <w:proofErr w:type="spellStart"/>
      <w:r>
        <w:t>fitnesses</w:t>
      </w:r>
      <w:proofErr w:type="spellEnd"/>
      <w:r>
        <w:t xml:space="preserve"> of </w:t>
      </w:r>
      <w:proofErr w:type="spellStart"/>
      <w:r>
        <w:t>sexuals</w:t>
      </w:r>
      <w:proofErr w:type="spellEnd"/>
      <w:r>
        <w:t xml:space="preserve"> and </w:t>
      </w:r>
      <w:proofErr w:type="spellStart"/>
      <w:r>
        <w:t>asexuals</w:t>
      </w:r>
      <w:proofErr w:type="spellEnd"/>
      <w:r>
        <w:t xml:space="preserve"> are equal. On the other hand, if the parasite is highly virulent, the frequencies of </w:t>
      </w:r>
      <w:proofErr w:type="spellStart"/>
      <w:r>
        <w:t>sexuals</w:t>
      </w:r>
      <w:proofErr w:type="spellEnd"/>
      <w:r>
        <w:t xml:space="preserve"> and </w:t>
      </w:r>
      <w:proofErr w:type="spellStart"/>
      <w:r>
        <w:t>asexuals</w:t>
      </w:r>
      <w:proofErr w:type="spellEnd"/>
      <w:r>
        <w:t xml:space="preserve"> can oscillate over time (</w:t>
      </w:r>
      <w:hyperlink w:anchor="fig-2-3">
        <w:r>
          <w:rPr>
            <w:rStyle w:val="Hyperlink"/>
          </w:rPr>
          <w:t>Figure 2.2</w:t>
        </w:r>
      </w:hyperlink>
      <w:r>
        <w:t xml:space="preserve"> A). Under this second scenario, the new clone initially increases, but it is driven down sharply by infection (</w:t>
      </w:r>
      <w:hyperlink w:anchor="fig-2-3">
        <w:r>
          <w:rPr>
            <w:rStyle w:val="Hyperlink"/>
          </w:rPr>
          <w:t>Figure 2.2</w:t>
        </w:r>
      </w:hyperlink>
      <w:r>
        <w:t xml:space="preserve"> B). Then, once the clone becomes very rare, it should become less infected than observed in the sexual population (</w:t>
      </w:r>
      <w:hyperlink w:anchor="fig-2-3">
        <w:r>
          <w:rPr>
            <w:rStyle w:val="Hyperlink"/>
          </w:rPr>
          <w:t>Figure 2.2</w:t>
        </w:r>
      </w:hyperlink>
      <w:r>
        <w:t xml:space="preserve"> B). During this period, there is parasite-mediated selection against sex. Hence, the clone increases in frequency (</w:t>
      </w:r>
      <w:hyperlink w:anchor="fig-2-3">
        <w:r>
          <w:rPr>
            <w:rStyle w:val="Hyperlink"/>
          </w:rPr>
          <w:t>Figure 2.2</w:t>
        </w:r>
      </w:hyperlink>
      <w:r>
        <w:t xml:space="preserve"> A), only to be driven down again by parasites after it becomes common (</w:t>
      </w:r>
      <w:hyperlink w:anchor="fig-2-3">
        <w:r>
          <w:rPr>
            <w:rStyle w:val="Hyperlink"/>
          </w:rPr>
          <w:t>Figure 2.2</w:t>
        </w:r>
      </w:hyperlink>
      <w:r>
        <w:t xml:space="preserve"> B). Another cycle begins. </w:t>
      </w:r>
      <w:r>
        <w:rPr>
          <w:b/>
          <w:bCs/>
        </w:rPr>
        <w:t>The key point is that parasites do not select against clonal reproduction per se; they only select against common genotypes.</w:t>
      </w:r>
      <w:r>
        <w:t xml:space="preserve"> But selection against common host genotypes might be sufficient to prevent fixation of a clone in the short term.</w:t>
      </w:r>
    </w:p>
    <w:tbl>
      <w:tblPr>
        <w:tblStyle w:val="Table"/>
        <w:tblW w:w="5000" w:type="pct"/>
        <w:tblLayout w:type="fixed"/>
        <w:tblLook w:val="0000" w:firstRow="0" w:lastRow="0" w:firstColumn="0" w:lastColumn="0" w:noHBand="0" w:noVBand="0"/>
      </w:tblPr>
      <w:tblGrid>
        <w:gridCol w:w="9360"/>
      </w:tblGrid>
      <w:tr w:rsidR="00FD0189" w14:paraId="32771379" w14:textId="77777777">
        <w:tc>
          <w:tcPr>
            <w:tcW w:w="7920" w:type="dxa"/>
          </w:tcPr>
          <w:p w14:paraId="38F01A9C" w14:textId="77777777" w:rsidR="00FD0189" w:rsidRDefault="00000000">
            <w:pPr>
              <w:pStyle w:val="Compact"/>
              <w:jc w:val="center"/>
            </w:pPr>
            <w:bookmarkStart w:id="47" w:name="fig-2-3"/>
            <w:r>
              <w:rPr>
                <w:noProof/>
              </w:rPr>
              <w:drawing>
                <wp:inline distT="0" distB="0" distL="0" distR="0" wp14:anchorId="780F68A5" wp14:editId="2C2CD50D">
                  <wp:extent cx="3863340" cy="4784149"/>
                  <wp:effectExtent l="0" t="0" r="0" b="0"/>
                  <wp:docPr id="101" name="Picture" descr="Two data visualizations of simulation results that show that as the asexuals become common, the parasite evolves to disproportionately infect them, driving their number down."/>
                  <wp:cNvGraphicFramePr/>
                  <a:graphic xmlns:a="http://schemas.openxmlformats.org/drawingml/2006/main">
                    <a:graphicData uri="http://schemas.openxmlformats.org/drawingml/2006/picture">
                      <pic:pic xmlns:pic="http://schemas.openxmlformats.org/drawingml/2006/picture">
                        <pic:nvPicPr>
                          <pic:cNvPr id="101" name="Picture" descr="Two data visualizations of simulation results that show that as the asexuals become common, the parasite evolves to disproportionately infect them, driving their number down."/>
                          <pic:cNvPicPr>
                            <a:picLocks noChangeAspect="1" noChangeArrowheads="1"/>
                          </pic:cNvPicPr>
                        </pic:nvPicPr>
                        <pic:blipFill>
                          <a:blip r:embed="rId39"/>
                          <a:stretch>
                            <a:fillRect/>
                          </a:stretch>
                        </pic:blipFill>
                        <pic:spPr bwMode="auto">
                          <a:xfrm>
                            <a:off x="0" y="0"/>
                            <a:ext cx="3863340" cy="4784149"/>
                          </a:xfrm>
                          <a:prstGeom prst="rect">
                            <a:avLst/>
                          </a:prstGeom>
                          <a:noFill/>
                          <a:ln w="9525">
                            <a:noFill/>
                            <a:headEnd/>
                            <a:tailEnd/>
                          </a:ln>
                        </pic:spPr>
                      </pic:pic>
                    </a:graphicData>
                  </a:graphic>
                </wp:inline>
              </w:drawing>
            </w:r>
          </w:p>
          <w:p w14:paraId="6E399787" w14:textId="77777777" w:rsidR="00FD0189" w:rsidRDefault="00000000">
            <w:pPr>
              <w:pStyle w:val="ImageCaption"/>
              <w:spacing w:before="200"/>
            </w:pPr>
            <w:r>
              <w:t xml:space="preserve">Figure 2.2: Simulation models showing that coevolving parasites can prevent the fixation of </w:t>
            </w:r>
            <w:proofErr w:type="spellStart"/>
            <w:r>
              <w:t>asexuals</w:t>
            </w:r>
            <w:proofErr w:type="spellEnd"/>
            <w:r>
              <w:t xml:space="preserve"> in the short term. </w:t>
            </w:r>
            <w:r>
              <w:rPr>
                <w:b/>
                <w:bCs/>
              </w:rPr>
              <w:t>A.</w:t>
            </w:r>
            <w:r>
              <w:t xml:space="preserve"> The number of sexual and asexual individuals over time. </w:t>
            </w:r>
            <w:r>
              <w:rPr>
                <w:b/>
                <w:bCs/>
              </w:rPr>
              <w:t>B.</w:t>
            </w:r>
            <w:r>
              <w:t xml:space="preserve"> The frequency of infection in sexual and asexual individuals over time. The simulation introduces a </w:t>
            </w:r>
            <w:r>
              <w:lastRenderedPageBreak/>
              <w:t>single clonal genotype into a sexual population at carrying capacity. After the clone becomes common (</w:t>
            </w:r>
            <w:r>
              <w:rPr>
                <w:b/>
                <w:bCs/>
              </w:rPr>
              <w:t>A</w:t>
            </w:r>
            <w:r>
              <w:t>) the parasites evolve to “target” it for infection (</w:t>
            </w:r>
            <w:r>
              <w:rPr>
                <w:b/>
                <w:bCs/>
              </w:rPr>
              <w:t>B</w:t>
            </w:r>
            <w:r>
              <w:t xml:space="preserve">). Note that after the parasites have driven the clone’s frequency down, the </w:t>
            </w:r>
            <w:proofErr w:type="spellStart"/>
            <w:r>
              <w:t>asexuals</w:t>
            </w:r>
            <w:proofErr w:type="spellEnd"/>
            <w:r>
              <w:t xml:space="preserve"> are less infected than the </w:t>
            </w:r>
            <w:proofErr w:type="spellStart"/>
            <w:r>
              <w:t>sexuals</w:t>
            </w:r>
            <w:proofErr w:type="spellEnd"/>
            <w:r>
              <w:t>. Simulation model based on Lively (</w:t>
            </w:r>
            <w:hyperlink w:anchor="ref-lively2009a">
              <w:r>
                <w:rPr>
                  <w:rStyle w:val="Hyperlink"/>
                </w:rPr>
                <w:t>2009</w:t>
              </w:r>
            </w:hyperlink>
            <w:r>
              <w:t>), which treats parasite virulence as a positive function of host density.</w:t>
            </w:r>
          </w:p>
        </w:tc>
        <w:bookmarkEnd w:id="47"/>
      </w:tr>
    </w:tbl>
    <w:p w14:paraId="1D32E57F" w14:textId="77777777" w:rsidR="00FD0189" w:rsidRDefault="00000000">
      <w:pPr>
        <w:pStyle w:val="BodyText"/>
      </w:pPr>
      <w:r>
        <w:lastRenderedPageBreak/>
        <w:t>This scenario of fluctuating selection for and against sex is just a special case of the more general idea that parasites will select against common genotypes within a diverse, sexual host population. As a rare host genotype becomes common, the parasites genotype that can infect it will be favored by natural selection. If the parasite is virulent (meaning that infection reduces host fitness), the targeted host genotype will decline in frequency, and a new host genotype will begin to increase in frequency. Under this logic, host-parasite coevolution will lead to the oscillation of genotypes in both the host and the parasite populations (</w:t>
      </w:r>
      <w:hyperlink w:anchor="fig-2-4">
        <w:r>
          <w:rPr>
            <w:rStyle w:val="Hyperlink"/>
          </w:rPr>
          <w:t>Figure 2.3</w:t>
        </w:r>
      </w:hyperlink>
      <w:r>
        <w:t>). These oscillations are now called Red Queen dynamics. Red Queen dynamics can lead to the maintenance of genetic polymorphism in sexual populations, and possibly protect sexual reproduction from replacement by asexual lineages. In addition, Red Queen dynamics could also favor recombination within a sexual population (</w:t>
      </w:r>
      <w:hyperlink w:anchor="ref-peters1999a">
        <w:r>
          <w:rPr>
            <w:rStyle w:val="Hyperlink"/>
          </w:rPr>
          <w:t>Peters &amp; Lively 1999</w:t>
        </w:r>
      </w:hyperlink>
      <w:r>
        <w:t xml:space="preserve">, </w:t>
      </w:r>
      <w:hyperlink w:anchor="ref-peters2007a">
        <w:r>
          <w:rPr>
            <w:rStyle w:val="Hyperlink"/>
          </w:rPr>
          <w:t>2007</w:t>
        </w:r>
      </w:hyperlink>
      <w:r>
        <w:t xml:space="preserve">; </w:t>
      </w:r>
      <w:hyperlink w:anchor="ref-salathe2008a">
        <w:proofErr w:type="spellStart"/>
        <w:r>
          <w:rPr>
            <w:rStyle w:val="Hyperlink"/>
          </w:rPr>
          <w:t>Salathé</w:t>
        </w:r>
        <w:proofErr w:type="spellEnd"/>
        <w:r>
          <w:rPr>
            <w:rStyle w:val="Hyperlink"/>
          </w:rPr>
          <w:t xml:space="preserve"> </w:t>
        </w:r>
        <w:r>
          <w:rPr>
            <w:rStyle w:val="Hyperlink"/>
            <w:i/>
            <w:iCs/>
          </w:rPr>
          <w:t>et al.</w:t>
        </w:r>
        <w:r>
          <w:rPr>
            <w:rStyle w:val="Hyperlink"/>
          </w:rPr>
          <w:t xml:space="preserve"> 2008</w:t>
        </w:r>
      </w:hyperlink>
      <w:r>
        <w:t xml:space="preserve">; </w:t>
      </w:r>
      <w:hyperlink w:anchor="ref-schmid-hempel2002a">
        <w:r>
          <w:rPr>
            <w:rStyle w:val="Hyperlink"/>
          </w:rPr>
          <w:t>Schmid-Hempel &amp; Jokela 2002</w:t>
        </w:r>
      </w:hyperlink>
      <w:r>
        <w:t xml:space="preserve">). These related ideas are now called the Red Queen Hypothesis (following </w:t>
      </w:r>
      <w:hyperlink w:anchor="ref-bell1982a">
        <w:r>
          <w:rPr>
            <w:rStyle w:val="Hyperlink"/>
          </w:rPr>
          <w:t>Bell 1982</w:t>
        </w:r>
      </w:hyperlink>
      <w:r>
        <w:t>).</w:t>
      </w:r>
    </w:p>
    <w:tbl>
      <w:tblPr>
        <w:tblStyle w:val="Table"/>
        <w:tblW w:w="5000" w:type="pct"/>
        <w:tblLayout w:type="fixed"/>
        <w:tblLook w:val="0000" w:firstRow="0" w:lastRow="0" w:firstColumn="0" w:lastColumn="0" w:noHBand="0" w:noVBand="0"/>
      </w:tblPr>
      <w:tblGrid>
        <w:gridCol w:w="9360"/>
      </w:tblGrid>
      <w:tr w:rsidR="00FD0189" w14:paraId="1E3A50E3" w14:textId="77777777">
        <w:tc>
          <w:tcPr>
            <w:tcW w:w="7920" w:type="dxa"/>
          </w:tcPr>
          <w:p w14:paraId="449AF920" w14:textId="77777777" w:rsidR="00FD0189" w:rsidRDefault="00000000">
            <w:pPr>
              <w:pStyle w:val="Compact"/>
              <w:jc w:val="center"/>
            </w:pPr>
            <w:bookmarkStart w:id="48" w:name="fig-2-4"/>
            <w:r>
              <w:rPr>
                <w:noProof/>
              </w:rPr>
              <w:drawing>
                <wp:inline distT="0" distB="0" distL="0" distR="0" wp14:anchorId="4DFE6EB5" wp14:editId="54B7A510">
                  <wp:extent cx="3863340" cy="2580991"/>
                  <wp:effectExtent l="0" t="0" r="0" b="0"/>
                  <wp:docPr id="105" name="Picture" descr="Data visualization of simulation results showing oscillations in host genotype and parasite genotype frequencies. The parasite's oscillations lag 90 degrees behind the host."/>
                  <wp:cNvGraphicFramePr/>
                  <a:graphic xmlns:a="http://schemas.openxmlformats.org/drawingml/2006/main">
                    <a:graphicData uri="http://schemas.openxmlformats.org/drawingml/2006/picture">
                      <pic:pic xmlns:pic="http://schemas.openxmlformats.org/drawingml/2006/picture">
                        <pic:nvPicPr>
                          <pic:cNvPr id="105" name="Picture" descr="Data visualization of simulation results showing oscillations in host genotype and parasite genotype frequencies. The parasite's oscillations lag 90 degrees behind the host."/>
                          <pic:cNvPicPr>
                            <a:picLocks noChangeAspect="1" noChangeArrowheads="1"/>
                          </pic:cNvPicPr>
                        </pic:nvPicPr>
                        <pic:blipFill>
                          <a:blip r:embed="rId40"/>
                          <a:stretch>
                            <a:fillRect/>
                          </a:stretch>
                        </pic:blipFill>
                        <pic:spPr bwMode="auto">
                          <a:xfrm>
                            <a:off x="0" y="0"/>
                            <a:ext cx="3863340" cy="2580991"/>
                          </a:xfrm>
                          <a:prstGeom prst="rect">
                            <a:avLst/>
                          </a:prstGeom>
                          <a:noFill/>
                          <a:ln w="9525">
                            <a:noFill/>
                            <a:headEnd/>
                            <a:tailEnd/>
                          </a:ln>
                        </pic:spPr>
                      </pic:pic>
                    </a:graphicData>
                  </a:graphic>
                </wp:inline>
              </w:drawing>
            </w:r>
          </w:p>
          <w:p w14:paraId="08541F1D" w14:textId="77777777" w:rsidR="00FD0189" w:rsidRDefault="00000000">
            <w:pPr>
              <w:pStyle w:val="ImageCaption"/>
              <w:spacing w:before="200"/>
            </w:pPr>
            <w:r>
              <w:t>Figure 2.3: Red Queen dynamics. The frequency of a single host genotype is shown along with the frequency of the only parasite genotype that can infect it. Note that the parasite tracks the host with a time lag. Results were extracted from a simulation of a sexual host population with nine possible genotypes coevolving with an asexual parasite with nine matching genotypes (</w:t>
            </w:r>
            <w:hyperlink w:anchor="ref-lively2009a">
              <w:r>
                <w:rPr>
                  <w:rStyle w:val="Hyperlink"/>
                </w:rPr>
                <w:t>Lively 2009</w:t>
              </w:r>
            </w:hyperlink>
            <w:r>
              <w:t>). The dashed line shows the average genotype frequency for hosts and parasites.</w:t>
            </w:r>
          </w:p>
        </w:tc>
        <w:bookmarkEnd w:id="48"/>
      </w:tr>
    </w:tbl>
    <w:p w14:paraId="3E3DD487" w14:textId="77777777" w:rsidR="00FD0189" w:rsidRDefault="00000000">
      <w:pPr>
        <w:pStyle w:val="Heading3"/>
      </w:pPr>
      <w:bookmarkStart w:id="49" w:name="Xfe501cd49a75ae659239a51a96611ad68f52846"/>
      <w:bookmarkStart w:id="50" w:name="_Toc159248495"/>
      <w:r>
        <w:t>2.3.1 An intersection of science and literature</w:t>
      </w:r>
      <w:bookmarkEnd w:id="50"/>
    </w:p>
    <w:p w14:paraId="650F247E" w14:textId="77777777" w:rsidR="00FD0189" w:rsidRDefault="00000000">
      <w:pPr>
        <w:pStyle w:val="FirstParagraph"/>
      </w:pPr>
      <w:r>
        <w:t xml:space="preserve">The name for the Red Queen Hypothesis comes from </w:t>
      </w:r>
      <w:r>
        <w:rPr>
          <w:i/>
          <w:iCs/>
        </w:rPr>
        <w:t>Through the Looking Glass</w:t>
      </w:r>
      <w:r>
        <w:t xml:space="preserve"> (</w:t>
      </w:r>
      <w:hyperlink w:anchor="ref-carroll1872a">
        <w:r>
          <w:rPr>
            <w:rStyle w:val="Hyperlink"/>
          </w:rPr>
          <w:t>Carroll 1872</w:t>
        </w:r>
      </w:hyperlink>
      <w:r>
        <w:t xml:space="preserve">). Here are the relevant bits of the story. After Alice goes through the looking glass (a mirror), she decides to follow a straight path to the top of a hill. But, in following the path, she ends up at her </w:t>
      </w:r>
      <w:r>
        <w:lastRenderedPageBreak/>
        <w:t>starting point. Talking to herself, she remarks, “But how curiously it twists! It’s more like a corkscrew than a path.” Repeated attempts were unsuccessful. In frustration, Alice addresses a tiger lily amongst a patch of flowers, “I wish you could talk!” The lily informs Alice that all the flowers can talk. The stunned Alice then begins a conversation with the flowers before finally asking, “Are there any more people in the garden besides me?” The rose answers “Yes, there is someone like you.” Alice sets out to follow this person (the Red Queen), but she quickly loses sight of her, and ends up back at her original starting point. Flustered, Alice decides to follow the advice of the rose: “</w:t>
      </w:r>
      <w:r>
        <w:rPr>
          <w:i/>
          <w:iCs/>
        </w:rPr>
        <w:t>I</w:t>
      </w:r>
      <w:r>
        <w:t xml:space="preserve"> should advise you to walk the other way.” Alice then quickly finds the Red Queen.</w:t>
      </w:r>
    </w:p>
    <w:p w14:paraId="10F7F3BB" w14:textId="77777777" w:rsidR="00FD0189" w:rsidRDefault="00000000">
      <w:pPr>
        <w:pStyle w:val="BodyText"/>
      </w:pPr>
      <w:r>
        <w:t>Now it gets especially interesting. Alice mentions to the Red Queen that she would like to “find my way to the top of that hill.” The Red Queen replies, “</w:t>
      </w:r>
      <w:r>
        <w:rPr>
          <w:i/>
          <w:iCs/>
        </w:rPr>
        <w:t>I</w:t>
      </w:r>
      <w:r>
        <w:t xml:space="preserve"> could show you hills, in comparison with which you’d call that a valley.” Alice protests: “a hill </w:t>
      </w:r>
      <w:proofErr w:type="spellStart"/>
      <w:r>
        <w:rPr>
          <w:i/>
          <w:iCs/>
        </w:rPr>
        <w:t>ca’n’t</w:t>
      </w:r>
      <w:proofErr w:type="spellEnd"/>
      <w:r>
        <w:t xml:space="preserve"> be a valley.… That would be nonsense.” This exchange between Alice and the Red Queen now seems prophetic, because, under frequency-dependent selection, locations on the adaptive landscape can rapidly change from fitness peaks to fitness valleys. Perhaps the Red Queen’s statement is correct: hills can become valleys, and valleys can become hills. More specifically, genotypes that were favored by natural selection when rare can become selected against after they become common, leading to a highly dynamic adaptive landscape.</w:t>
      </w:r>
    </w:p>
    <w:p w14:paraId="134E0D60" w14:textId="77777777" w:rsidR="00FD0189" w:rsidRDefault="00000000">
      <w:pPr>
        <w:pStyle w:val="BodyText"/>
      </w:pPr>
      <w:r>
        <w:t>In any case, Alice had clearly entered a crazy world. Straight paths become like corkscrews, progress is made by going the other way, and hills become valleys. Then, suddenly, Alice and the Red Queen began to run: “Alice never could quite make out, in thinking it over afterwards, how it was that they began: all she remembers is, that they were running hand in hand, and the Queen went so fast that it was all she could do to keep up with her.” During this furious run, Alice notices that they never pass anything. The trees remain in the same place as if they were moving along with them. Alice eventually asks: “Are we nearly there?” The Red Queen replies: “Why, we passed it ten minutes ago! Faster!”</w:t>
      </w:r>
    </w:p>
    <w:p w14:paraId="3463D772" w14:textId="77777777" w:rsidR="00FD0189" w:rsidRDefault="00000000">
      <w:pPr>
        <w:pStyle w:val="BodyText"/>
      </w:pPr>
      <w:r>
        <w:t xml:space="preserve">When they finally stop, Alice is surprised to be where they started: “I do believe we’ve been under this tree the whole time! Everything’s just as it was!” The Red Queen replies that of course, and then asks: “What would you have it?” Alice replies that she would have expected to get somewhere else after running for a long time. The Red Queen then replies with this very famous quote: “Now, </w:t>
      </w:r>
      <w:r>
        <w:rPr>
          <w:i/>
          <w:iCs/>
        </w:rPr>
        <w:t>here</w:t>
      </w:r>
      <w:r>
        <w:t xml:space="preserve">, you see, it takes all the running </w:t>
      </w:r>
      <w:r>
        <w:rPr>
          <w:i/>
          <w:iCs/>
        </w:rPr>
        <w:t>you</w:t>
      </w:r>
      <w:r>
        <w:t xml:space="preserve"> can do to keep in the same place.” It is a perfect metaphor for host-parasite coevolution.</w:t>
      </w:r>
      <w:r>
        <w:rPr>
          <w:rStyle w:val="FootnoteReference"/>
        </w:rPr>
        <w:footnoteReference w:id="16"/>
      </w:r>
      <w:r>
        <w:t xml:space="preserve"> Host and parasite genotypes might oscillate as if they were running to stay in the same place.</w:t>
      </w:r>
    </w:p>
    <w:p w14:paraId="754CF366" w14:textId="77777777" w:rsidR="00FD0189" w:rsidRDefault="00000000">
      <w:pPr>
        <w:pStyle w:val="BodyText"/>
      </w:pPr>
      <w:r>
        <w:t>It seems unlikely that Lewis Carroll had coevolution in mind when writing these passages. But he was a mathematician at Oxford University (his given name was Charles Dodgson), and at least one author has shown how his writings can be seen as metaphors for mathematical problems (</w:t>
      </w:r>
      <w:hyperlink w:anchor="ref-bayley2009a">
        <w:r>
          <w:rPr>
            <w:rStyle w:val="Hyperlink"/>
          </w:rPr>
          <w:t>Bayley 2009</w:t>
        </w:r>
      </w:hyperlink>
      <w:r>
        <w:t xml:space="preserve">, </w:t>
      </w:r>
      <w:hyperlink w:anchor="ref-bayley2010a">
        <w:r>
          <w:rPr>
            <w:rStyle w:val="Hyperlink"/>
          </w:rPr>
          <w:t>2010</w:t>
        </w:r>
      </w:hyperlink>
      <w:r>
        <w:t>). Along these lines, mathematician Sanderson M. Smith (</w:t>
      </w:r>
      <w:hyperlink w:anchor="ref-smith2003a">
        <w:r>
          <w:rPr>
            <w:rStyle w:val="Hyperlink"/>
          </w:rPr>
          <w:t>n.d.</w:t>
        </w:r>
      </w:hyperlink>
      <w:r>
        <w:t xml:space="preserve">) has suggested </w:t>
      </w:r>
      <w:r>
        <w:lastRenderedPageBreak/>
        <w:t xml:space="preserve">that </w:t>
      </w:r>
      <w:hyperlink r:id="rId41">
        <w:r>
          <w:rPr>
            <w:rStyle w:val="Hyperlink"/>
          </w:rPr>
          <w:t>Carroll simply inverted the equation for speed from “speed = distance/time” to “speed = time/distance.”</w:t>
        </w:r>
      </w:hyperlink>
      <w:r>
        <w:t xml:space="preserve"> Upon rearrangement, the latter gives “distance = time/speed.” Hence you must run very fast to stay in the same place. But how does the shifting landscape fit in? And why did Alice have to go the other way to meet the Red Queen? I would love to know.</w:t>
      </w:r>
    </w:p>
    <w:p w14:paraId="242278BB" w14:textId="77777777" w:rsidR="00FD0189" w:rsidRDefault="00000000">
      <w:pPr>
        <w:pStyle w:val="BodyText"/>
      </w:pPr>
      <w:r>
        <w:t xml:space="preserve">It is perhaps worth pointing out that the phrase “Red Queen Hypothesis” can have two different meanings to evolutionary biologists. In the early 1970s, Leigh Van </w:t>
      </w:r>
      <w:proofErr w:type="spellStart"/>
      <w:r>
        <w:t>Valen</w:t>
      </w:r>
      <w:proofErr w:type="spellEnd"/>
      <w:r>
        <w:t xml:space="preserve"> (</w:t>
      </w:r>
      <w:hyperlink w:anchor="ref-valen1973a">
        <w:r>
          <w:rPr>
            <w:rStyle w:val="Hyperlink"/>
          </w:rPr>
          <w:t>1973</w:t>
        </w:r>
      </w:hyperlink>
      <w:r>
        <w:t>) was grappling with data showing that the probability of extinction in very different organisms was independent of the age of the lineage. He reasoned that in coevolutionary interactions, the probability of one species driving the other species extinct could, in fact, be independent of lineage age. It thus seems reasonable to suggest that both antagonists must run (coevolve) as fast as they can to prevent extinction. Graham Bell (</w:t>
      </w:r>
      <w:hyperlink w:anchor="ref-bell1982a">
        <w:r>
          <w:rPr>
            <w:rStyle w:val="Hyperlink"/>
          </w:rPr>
          <w:t>1982</w:t>
        </w:r>
      </w:hyperlink>
      <w:r>
        <w:t xml:space="preserve">) repurposed the phrase to mean within-population oscillations in host and parasite genotypes. Hence, Van </w:t>
      </w:r>
      <w:proofErr w:type="spellStart"/>
      <w:r>
        <w:t>Valen’s</w:t>
      </w:r>
      <w:proofErr w:type="spellEnd"/>
      <w:r>
        <w:t xml:space="preserve"> idea is about macroevolution (speciation/extinction), while Bell’s idea is about microevolution. Even though Van </w:t>
      </w:r>
      <w:proofErr w:type="spellStart"/>
      <w:r>
        <w:t>Valen’s</w:t>
      </w:r>
      <w:proofErr w:type="spellEnd"/>
      <w:r>
        <w:t xml:space="preserve"> use of the Red Queen metaphor was published first, I will use Bell’s microevolutionary meaning, as it perfectly captures the oscillating nature of genotype frequencies during host-parasite coevolution.</w:t>
      </w:r>
      <w:r>
        <w:rPr>
          <w:rStyle w:val="FootnoteReference"/>
        </w:rPr>
        <w:footnoteReference w:id="17"/>
      </w:r>
    </w:p>
    <w:p w14:paraId="597E6E55" w14:textId="77777777" w:rsidR="00FD0189" w:rsidRDefault="00000000">
      <w:pPr>
        <w:pStyle w:val="Heading3"/>
      </w:pPr>
      <w:bookmarkStart w:id="51" w:name="Xd688bb05f4e5e24fe55bc2bf5e1585cd64bd4bd"/>
      <w:bookmarkStart w:id="52" w:name="_Toc159248496"/>
      <w:bookmarkEnd w:id="49"/>
      <w:r>
        <w:t>2.3.2 Conceptual roots of the Red Queen Hypothesis</w:t>
      </w:r>
      <w:bookmarkEnd w:id="52"/>
    </w:p>
    <w:p w14:paraId="625B88E5" w14:textId="77777777" w:rsidR="00FD0189" w:rsidRDefault="00000000">
      <w:pPr>
        <w:pStyle w:val="FirstParagraph"/>
      </w:pPr>
      <w:r>
        <w:t>Part of my goal is to show science as a process. As such it seems reasonable to discuss the origins of the Red Queen idea. One of the earliest statements alluding to the Red Queen Hypothesis came from W.D. Hamilton (</w:t>
      </w:r>
      <w:hyperlink w:anchor="ref-hamilton1975b">
        <w:r>
          <w:rPr>
            <w:rStyle w:val="Hyperlink"/>
          </w:rPr>
          <w:t>1975a</w:t>
        </w:r>
      </w:hyperlink>
      <w:r>
        <w:t>). Hamilton was reviewing the books by Williams (</w:t>
      </w:r>
      <w:hyperlink w:anchor="ref-williams1975a">
        <w:r>
          <w:rPr>
            <w:rStyle w:val="Hyperlink"/>
          </w:rPr>
          <w:t>1975</w:t>
        </w:r>
      </w:hyperlink>
      <w:r>
        <w:t xml:space="preserve">) and </w:t>
      </w:r>
      <w:proofErr w:type="spellStart"/>
      <w:r>
        <w:t>Ghiselin</w:t>
      </w:r>
      <w:proofErr w:type="spellEnd"/>
      <w:r>
        <w:t xml:space="preserve"> (</w:t>
      </w:r>
      <w:hyperlink w:anchor="ref-ghiselin1974a">
        <w:r>
          <w:rPr>
            <w:rStyle w:val="Hyperlink"/>
          </w:rPr>
          <w:t>1974</w:t>
        </w:r>
      </w:hyperlink>
      <w:r>
        <w:t xml:space="preserve">) for the </w:t>
      </w:r>
      <w:r>
        <w:rPr>
          <w:i/>
          <w:iCs/>
        </w:rPr>
        <w:t>Quarterly Review of Biology</w:t>
      </w:r>
      <w:r>
        <w:t>. Throughout the review, the reader can feel Hamilton’s frustration with their arguments. Towards the end, he makes these very abstract suggestions: “[I]t seems to me that we need environmental fluctuations around a trend line of change” and “For the source of these we may look to fluctuations and periodicities … generated by life itself.”</w:t>
      </w:r>
    </w:p>
    <w:p w14:paraId="6C9FA71C" w14:textId="77777777" w:rsidR="00FD0189" w:rsidRDefault="00000000">
      <w:pPr>
        <w:pStyle w:val="BodyText"/>
      </w:pPr>
      <w:r>
        <w:t>The quote does not specifically refer to parasites, but it does suggest that coevolutionary interactions, in general, could play a role in selecting for sex and recombination. In his memoirs, Hamilton (</w:t>
      </w:r>
      <w:hyperlink w:anchor="ref-hamilton2001a">
        <w:r>
          <w:rPr>
            <w:rStyle w:val="Hyperlink"/>
          </w:rPr>
          <w:t>2001</w:t>
        </w:r>
      </w:hyperlink>
      <w:r>
        <w:t>) clears this up, writing, “At that stage when I wrote the review, although I had not seen the particular relevance that parasitism might have, I had for many years seen sex looming ahead and had reached a stage of being excited by the possible primary role of biotic interaction. I had decided that it was in aspects of the interspecies struggle, and not survival in an inanimate environment, that I had to search for the main factor. Adaptation to new physical habitats might be made possible through sexuality but these adaptations could not be the main reason for its existence.” Note that, here, Hamilton is specifically contrasting host-parasite coevolution with the Lottery Model, which relies on random changes in “physical habitats.”</w:t>
      </w:r>
    </w:p>
    <w:p w14:paraId="43DAC8EB" w14:textId="77777777" w:rsidR="00FD0189" w:rsidRDefault="00000000">
      <w:pPr>
        <w:pStyle w:val="BodyText"/>
      </w:pPr>
      <w:r>
        <w:lastRenderedPageBreak/>
        <w:t>At about the same time, a plant population biologist, Don Levin, was also writing on the paradox of sex/rec. In his paper, Levin (</w:t>
      </w:r>
      <w:hyperlink w:anchor="ref-levin1975a">
        <w:r>
          <w:rPr>
            <w:rStyle w:val="Hyperlink"/>
          </w:rPr>
          <w:t>1975</w:t>
        </w:r>
      </w:hyperlink>
      <w:r>
        <w:t>) specifically identified pathogens as a possible force selecting for recombination: “I propose that the persistent tracking of plant hosts by multiple pathogens and herbivores is a prime factor which prohibits the congealing of the genomes of species, especially those in closed communities.”</w:t>
      </w:r>
    </w:p>
    <w:p w14:paraId="3B5AC101" w14:textId="77777777" w:rsidR="00FD0189" w:rsidRDefault="00000000">
      <w:pPr>
        <w:pStyle w:val="BodyText"/>
      </w:pPr>
      <w:r>
        <w:t xml:space="preserve">Boom! By “prohibits the congealing of the genomes,” Levin means, “selects for recombination.” The reference to “closed communities” means species that are tightly coevolving in the absence of homogenizing gene flow. This quote seems to be the first to specifically identify coevolving pathogens as a primary source of selection favoring the mixing of genomes. Levin’s idea was quickly followed by important conceptual contributions by </w:t>
      </w:r>
      <w:proofErr w:type="spellStart"/>
      <w:r>
        <w:t>Glesener</w:t>
      </w:r>
      <w:proofErr w:type="spellEnd"/>
      <w:r>
        <w:t xml:space="preserve"> &amp; Tilman (</w:t>
      </w:r>
      <w:hyperlink w:anchor="ref-glesener1978a">
        <w:r>
          <w:rPr>
            <w:rStyle w:val="Hyperlink"/>
          </w:rPr>
          <w:t>1978</w:t>
        </w:r>
      </w:hyperlink>
      <w:r>
        <w:t>),</w:t>
      </w:r>
      <w:r>
        <w:rPr>
          <w:rStyle w:val="FootnoteReference"/>
        </w:rPr>
        <w:footnoteReference w:id="18"/>
      </w:r>
      <w:r>
        <w:t xml:space="preserve"> </w:t>
      </w:r>
      <w:proofErr w:type="spellStart"/>
      <w:r>
        <w:t>Jaenike</w:t>
      </w:r>
      <w:proofErr w:type="spellEnd"/>
      <w:r>
        <w:t xml:space="preserve"> (</w:t>
      </w:r>
      <w:hyperlink w:anchor="ref-jaenike1978a">
        <w:r>
          <w:rPr>
            <w:rStyle w:val="Hyperlink"/>
          </w:rPr>
          <w:t>1978</w:t>
        </w:r>
      </w:hyperlink>
      <w:r>
        <w:t>),</w:t>
      </w:r>
      <w:r>
        <w:rPr>
          <w:rStyle w:val="FootnoteReference"/>
        </w:rPr>
        <w:footnoteReference w:id="19"/>
      </w:r>
      <w:r>
        <w:t xml:space="preserve"> and Lloyd (</w:t>
      </w:r>
      <w:hyperlink w:anchor="ref-lloyd1980a">
        <w:r>
          <w:rPr>
            <w:rStyle w:val="Hyperlink"/>
          </w:rPr>
          <w:t>1980</w:t>
        </w:r>
      </w:hyperlink>
      <w:r>
        <w:t xml:space="preserve">). </w:t>
      </w:r>
      <w:proofErr w:type="gramStart"/>
      <w:r>
        <w:t>In particular, Lloyd</w:t>
      </w:r>
      <w:proofErr w:type="gramEnd"/>
      <w:r>
        <w:t xml:space="preserve"> writes, “[B]</w:t>
      </w:r>
      <w:proofErr w:type="spellStart"/>
      <w:r>
        <w:t>iological</w:t>
      </w:r>
      <w:proofErr w:type="spellEnd"/>
      <w:r>
        <w:t xml:space="preserve"> interactions are more likely than unpredictable physical conditions to provide the kind of relentless, repetitive change that is necessary for sexual parents to be selected because of the genetic diversity that sex engenders.” Lloyd then turns this abstract idea into a specific prediction, which I would later test: “If this proves to be so, we will then be able to examine whether the occurrence of asexual reproduction is correlated with relaxation of the biological hostility of the environment.”</w:t>
      </w:r>
    </w:p>
    <w:p w14:paraId="23AB10D7" w14:textId="77777777" w:rsidR="00FD0189" w:rsidRDefault="00000000">
      <w:pPr>
        <w:pStyle w:val="BodyText"/>
      </w:pPr>
      <w:r>
        <w:t>Notice that, in the quotes presented above, both Hamilton and Lloyd were specifically predicting that coevolution is more important in selecting for sex than uncertain physical environments. But it is reasonable to ask, does it really matter? Aren’t both ideas fundamentally about bet hedging in uncertain environments? Yes: I think both ideas are about bet hedging. But the distinction still matters. The Lottery Model is about random shifts in the direction of selection; there is no selection against common genotypes unless the environment changes by chance in a way that disfavors them. By contrast, under the Red Queen, selection is frequency dependent. In fact, selection against common genotypes is the core of the model. Hence, the critical difference between the models is not so much about bet hedging but whether selection for sex/rec is directional (but randomly changing directions, a lottery) or frequency dependent (Red Queen). For example, parasites could be a source of directional selection for sex if they randomly changed which host genotypes they attacked. To my mind, that would be a Lottery Model. The Red Queen Hypothesis requires frequency-dependent selection generated by interactions between species.</w:t>
      </w:r>
      <w:r>
        <w:rPr>
          <w:rStyle w:val="FootnoteReference"/>
        </w:rPr>
        <w:footnoteReference w:id="20"/>
      </w:r>
      <w:r>
        <w:t xml:space="preserve"> This is an important distinction.</w:t>
      </w:r>
    </w:p>
    <w:p w14:paraId="74B1DAE6" w14:textId="77777777" w:rsidR="00FD0189" w:rsidRDefault="00000000">
      <w:pPr>
        <w:pStyle w:val="BodyText"/>
      </w:pPr>
      <w:r>
        <w:lastRenderedPageBreak/>
        <w:t>Taking this view, the Red Queen Hypothesis may seem more closely related to the Tangled Bank model than to the Lottery Model, as both the Red Queen and the Tangled Bank rely on frequency-dependent selection. But the critical distinction here is that selection against common genotypes under the Tangled Bank relies on intraspecific competition in populations at carrying capacity (soft selection). The Red Queen relies on interspecific antagonistic coevolution, leading to parasite-mediated selection against common host genotypes.</w:t>
      </w:r>
      <w:r>
        <w:rPr>
          <w:rStyle w:val="FootnoteReference"/>
        </w:rPr>
        <w:footnoteReference w:id="21"/>
      </w:r>
    </w:p>
    <w:p w14:paraId="66279EBE" w14:textId="77777777" w:rsidR="00FD0189" w:rsidRDefault="00000000">
      <w:pPr>
        <w:pStyle w:val="BodyText"/>
      </w:pPr>
      <w:r>
        <w:t>In any case, looking back, it seems clear that the architects of the ecological hypotheses had two interrelated things in mind:</w:t>
      </w:r>
    </w:p>
    <w:p w14:paraId="1901BC29" w14:textId="77777777" w:rsidR="00FD0189" w:rsidRDefault="00000000">
      <w:pPr>
        <w:pStyle w:val="Compact"/>
        <w:numPr>
          <w:ilvl w:val="0"/>
          <w:numId w:val="29"/>
        </w:numPr>
      </w:pPr>
      <w:r>
        <w:t>How can we explain sex/rec?</w:t>
      </w:r>
    </w:p>
    <w:p w14:paraId="729C4244" w14:textId="77777777" w:rsidR="00FD0189" w:rsidRDefault="00000000">
      <w:pPr>
        <w:pStyle w:val="Compact"/>
        <w:numPr>
          <w:ilvl w:val="0"/>
          <w:numId w:val="29"/>
        </w:numPr>
      </w:pPr>
      <w:r>
        <w:t>How do we understand the biogeographic and phylogenetic distributions of asexual reproduction?</w:t>
      </w:r>
    </w:p>
    <w:p w14:paraId="6FA70E94" w14:textId="77777777" w:rsidR="00FD0189" w:rsidRDefault="00000000">
      <w:pPr>
        <w:pStyle w:val="FirstParagraph"/>
      </w:pPr>
      <w:r>
        <w:t xml:space="preserve">As an evolutionary ecologist, I was drawn to the confluence of these questions. But other ideas were also interesting, such as the idea that sexual reproduction is favored because it reduces the interference between alleles at different loci (review in </w:t>
      </w:r>
      <w:hyperlink w:anchor="ref-otto2021a">
        <w:r>
          <w:rPr>
            <w:rStyle w:val="Hyperlink"/>
          </w:rPr>
          <w:t>Otto 2021</w:t>
        </w:r>
      </w:hyperlink>
      <w:r>
        <w:t xml:space="preserve">). I will cover some special cases of this latter idea in </w:t>
      </w:r>
      <w:hyperlink w:anchor="sec-chap6">
        <w:r>
          <w:rPr>
            <w:rStyle w:val="Hyperlink"/>
          </w:rPr>
          <w:t>Chapter 6</w:t>
        </w:r>
      </w:hyperlink>
      <w:r>
        <w:t>.</w:t>
      </w:r>
      <w:r>
        <w:rPr>
          <w:rStyle w:val="FootnoteReference"/>
        </w:rPr>
        <w:footnoteReference w:id="22"/>
      </w:r>
    </w:p>
    <w:p w14:paraId="76E748E9" w14:textId="77777777" w:rsidR="00FD0189" w:rsidRDefault="00000000">
      <w:pPr>
        <w:pStyle w:val="Heading2"/>
      </w:pPr>
      <w:bookmarkStart w:id="53" w:name="summary-1"/>
      <w:bookmarkStart w:id="54" w:name="_Toc159248497"/>
      <w:bookmarkEnd w:id="45"/>
      <w:bookmarkEnd w:id="51"/>
      <w:r>
        <w:t>2.4 Summary</w:t>
      </w:r>
      <w:bookmarkEnd w:id="54"/>
    </w:p>
    <w:p w14:paraId="21E50A4F" w14:textId="77777777" w:rsidR="00FD0189" w:rsidRDefault="00000000">
      <w:pPr>
        <w:pStyle w:val="Compact"/>
        <w:numPr>
          <w:ilvl w:val="0"/>
          <w:numId w:val="30"/>
        </w:numPr>
      </w:pPr>
      <w:r>
        <w:t xml:space="preserve">Three ecological hypotheses have been proposed to explain the persistence of cross-fertilization in the face of competition with uniparental reproductive strategies, such as parthenogenesis or self-fertilization (following </w:t>
      </w:r>
      <w:hyperlink w:anchor="ref-bell1982a">
        <w:r>
          <w:rPr>
            <w:rStyle w:val="Hyperlink"/>
          </w:rPr>
          <w:t>Bell 1982</w:t>
        </w:r>
      </w:hyperlink>
      <w:r>
        <w:t>).</w:t>
      </w:r>
    </w:p>
    <w:p w14:paraId="6AC92F52" w14:textId="77777777" w:rsidR="00FD0189" w:rsidRDefault="00000000">
      <w:pPr>
        <w:pStyle w:val="Compact"/>
        <w:numPr>
          <w:ilvl w:val="0"/>
          <w:numId w:val="30"/>
        </w:numPr>
      </w:pPr>
      <w:r>
        <w:t>The Lottery Model is based on the possible advantages of diversifying offspring facing uncertain changes in the abiotic environment. Here selection is independent of both density and frequency.</w:t>
      </w:r>
    </w:p>
    <w:p w14:paraId="43294697" w14:textId="77777777" w:rsidR="00FD0189" w:rsidRDefault="00000000">
      <w:pPr>
        <w:pStyle w:val="Compact"/>
        <w:numPr>
          <w:ilvl w:val="0"/>
          <w:numId w:val="30"/>
        </w:numPr>
      </w:pPr>
      <w:r>
        <w:t>The Tangled Bank and Frozen Niche-Variation Hypotheses are based on competition for resources when multiple resource types co-occur. Selection is frequency dependent, but the advantage to rare types only occurs when intraspecific competition is intense.</w:t>
      </w:r>
    </w:p>
    <w:p w14:paraId="2185D49E" w14:textId="77777777" w:rsidR="00FD0189" w:rsidRDefault="00000000">
      <w:pPr>
        <w:pStyle w:val="Compact"/>
        <w:numPr>
          <w:ilvl w:val="0"/>
          <w:numId w:val="30"/>
        </w:numPr>
      </w:pPr>
      <w:r>
        <w:t>The Red Queen Hypothesis relies on parasite-mediated selection against common host genotypes. Such selection, when strong, can result in oscillatory changes in parasite and host alleles. These oscillations are sometimes called Red Queen dynamics.</w:t>
      </w:r>
    </w:p>
    <w:p w14:paraId="263A68FF" w14:textId="77777777" w:rsidR="00FD0189" w:rsidRDefault="00000000">
      <w:pPr>
        <w:pStyle w:val="Compact"/>
        <w:numPr>
          <w:ilvl w:val="0"/>
          <w:numId w:val="30"/>
        </w:numPr>
      </w:pPr>
      <w:r>
        <w:t>A bet-hedging strategy reduces the variance in reproductive success over time, even if it reduces the arithmetic mean. Sexual reproduction under the Lottery Model is clearly a bet-hedging strategy. The Red Queen idea can perhaps also be seen as bet hedging.</w:t>
      </w:r>
    </w:p>
    <w:p w14:paraId="29DACFF0" w14:textId="77777777" w:rsidR="00FD0189" w:rsidRDefault="00000000">
      <w:pPr>
        <w:pStyle w:val="Heading2"/>
      </w:pPr>
      <w:bookmarkStart w:id="55" w:name="sec-app-2"/>
      <w:bookmarkStart w:id="56" w:name="_Toc159248498"/>
      <w:bookmarkEnd w:id="53"/>
      <w:r>
        <w:lastRenderedPageBreak/>
        <w:t xml:space="preserve">2.5 Appendix: </w:t>
      </w:r>
      <w:proofErr w:type="spellStart"/>
      <w:r>
        <w:t>Levene’s</w:t>
      </w:r>
      <w:proofErr w:type="spellEnd"/>
      <w:r>
        <w:t xml:space="preserve"> Model of Multiple Niche Polymorphism</w:t>
      </w:r>
      <w:bookmarkEnd w:id="56"/>
    </w:p>
    <w:p w14:paraId="4A67E0BC" w14:textId="77777777" w:rsidR="00FD0189" w:rsidRDefault="00000000">
      <w:pPr>
        <w:pStyle w:val="FirstParagraph"/>
      </w:pPr>
      <w:r>
        <w:t xml:space="preserve">It was widely thought that heterozygote advantage was required to maintain polymorphism at a single locus with two alleles. In the introduction to his paper, </w:t>
      </w:r>
      <w:proofErr w:type="spellStart"/>
      <w:r>
        <w:t>Levene</w:t>
      </w:r>
      <w:proofErr w:type="spellEnd"/>
      <w:r>
        <w:t xml:space="preserve"> (</w:t>
      </w:r>
      <w:hyperlink w:anchor="ref-levene1953a">
        <w:r>
          <w:rPr>
            <w:rStyle w:val="Hyperlink"/>
          </w:rPr>
          <w:t>1953</w:t>
        </w:r>
      </w:hyperlink>
      <w:r>
        <w:t>) wonders “whether it was in fact possible to have an equilibrium without the heterozygote being superior in any single niche.” The paper is not easy to follow, even though the algebra is not difficult. Here I try to simplify the presentation.</w:t>
      </w:r>
    </w:p>
    <w:p w14:paraId="0E256F21" w14:textId="77777777" w:rsidR="00FD0189" w:rsidRDefault="00000000">
      <w:pPr>
        <w:pStyle w:val="BodyText"/>
      </w:pPr>
      <w:proofErr w:type="spellStart"/>
      <w:r>
        <w:t>Levene</w:t>
      </w:r>
      <w:proofErr w:type="spellEnd"/>
      <w:r>
        <w:t xml:space="preserve"> first assumes that the proportion of survivors coming from the </w:t>
      </w:r>
      <m:oMath>
        <m:sSup>
          <m:sSupPr>
            <m:ctrlPr>
              <w:rPr>
                <w:rFonts w:ascii="Latin Modern Math" w:hAnsi="Latin Modern Math"/>
              </w:rPr>
            </m:ctrlPr>
          </m:sSupPr>
          <m:e>
            <m:r>
              <w:rPr>
                <w:rFonts w:ascii="Latin Modern Math" w:hAnsi="Latin Modern Math"/>
              </w:rPr>
              <m:t>i</m:t>
            </m:r>
          </m:e>
          <m:sup>
            <m:r>
              <w:rPr>
                <w:rFonts w:ascii="Latin Modern Math" w:hAnsi="Latin Modern Math"/>
              </w:rPr>
              <m:t>th</m:t>
            </m:r>
          </m:sup>
        </m:sSup>
      </m:oMath>
      <w:r>
        <w:t xml:space="preserve"> niche is constant </w:t>
      </w:r>
      <m:oMath>
        <m:d>
          <m:dPr>
            <m:ctrlPr>
              <w:rPr>
                <w:rFonts w:ascii="Latin Modern Math" w:hAnsi="Latin Modern Math"/>
              </w:rPr>
            </m:ctrlPr>
          </m:dPr>
          <m:e>
            <m:r>
              <w:rPr>
                <w:rFonts w:ascii="Latin Modern Math" w:hAnsi="Latin Modern Math"/>
              </w:rPr>
              <m:t>q</m:t>
            </m:r>
          </m:e>
        </m:d>
      </m:oMath>
      <w:r>
        <w:t xml:space="preserve">, independent of the genotypic composition of the niche (i.e., soft selection). He then assumes that the heterozygote has a relative fitness of one in all niches, giving </w:t>
      </w:r>
      <m:oMath>
        <m:sSub>
          <m:sSubPr>
            <m:ctrlPr>
              <w:rPr>
                <w:rFonts w:ascii="Latin Modern Math" w:hAnsi="Latin Modern Math"/>
              </w:rPr>
            </m:ctrlPr>
          </m:sSubPr>
          <m:e>
            <m:r>
              <w:rPr>
                <w:rFonts w:ascii="Latin Modern Math" w:hAnsi="Latin Modern Math"/>
              </w:rPr>
              <m:t>W</m:t>
            </m:r>
          </m:e>
          <m:sub>
            <m:r>
              <w:rPr>
                <w:rFonts w:ascii="Latin Modern Math" w:hAnsi="Latin Modern Math"/>
              </w:rPr>
              <m:t>AB</m:t>
            </m:r>
          </m:sub>
        </m:sSub>
        <m:r>
          <m:rPr>
            <m:sty m:val="p"/>
          </m:rPr>
          <w:rPr>
            <w:rFonts w:ascii="Latin Modern Math" w:hAnsi="Latin Modern Math"/>
          </w:rPr>
          <m:t>=</m:t>
        </m:r>
        <m:r>
          <w:rPr>
            <w:rFonts w:ascii="Latin Modern Math" w:hAnsi="Latin Modern Math"/>
          </w:rPr>
          <m:t>1</m:t>
        </m:r>
      </m:oMath>
      <w:r>
        <w:t xml:space="preserve">. Let </w:t>
      </w:r>
      <m:oMath>
        <m:r>
          <w:rPr>
            <w:rFonts w:ascii="Latin Modern Math" w:hAnsi="Latin Modern Math"/>
          </w:rPr>
          <m:t>q</m:t>
        </m:r>
      </m:oMath>
      <w:r>
        <w:t xml:space="preserve"> be the frequency of allele A, and let (</w:t>
      </w:r>
      <m:oMath>
        <m:r>
          <w:rPr>
            <w:rFonts w:ascii="Latin Modern Math" w:hAnsi="Latin Modern Math"/>
          </w:rPr>
          <m:t>1</m:t>
        </m:r>
        <m:r>
          <m:rPr>
            <m:sty m:val="p"/>
          </m:rPr>
          <w:rPr>
            <w:rFonts w:ascii="Latin Modern Math" w:hAnsi="Latin Modern Math"/>
          </w:rPr>
          <m:t>-</m:t>
        </m:r>
        <m:r>
          <w:rPr>
            <w:rFonts w:ascii="Latin Modern Math" w:hAnsi="Latin Modern Math"/>
          </w:rPr>
          <m:t>q</m:t>
        </m:r>
      </m:oMath>
      <w:r>
        <w:t xml:space="preserve">) be the frequency of allele B. The frequency of allele A in the next generation, </w:t>
      </w:r>
      <m:oMath>
        <m:r>
          <w:rPr>
            <w:rFonts w:ascii="Latin Modern Math" w:hAnsi="Latin Modern Math"/>
          </w:rPr>
          <m:t>q</m:t>
        </m:r>
        <m:r>
          <m:rPr>
            <m:sty m:val="p"/>
          </m:rPr>
          <w:rPr>
            <w:rFonts w:ascii="Latin Modern Math" w:hAnsi="Latin Modern Math"/>
          </w:rPr>
          <m:t>'</m:t>
        </m:r>
      </m:oMath>
      <w:r>
        <w:t>, is then</w:t>
      </w:r>
    </w:p>
    <w:p w14:paraId="4D250EDE" w14:textId="77777777" w:rsidR="00FD0189" w:rsidRDefault="00000000">
      <w:pPr>
        <w:pStyle w:val="BodyText"/>
      </w:pPr>
      <m:oMathPara>
        <m:oMathParaPr>
          <m:jc m:val="center"/>
        </m:oMathParaPr>
        <m:oMath>
          <m:sSup>
            <m:sSupPr>
              <m:ctrlPr>
                <w:rPr>
                  <w:rFonts w:ascii="Latin Modern Math" w:hAnsi="Latin Modern Math"/>
                </w:rPr>
              </m:ctrlPr>
            </m:sSupPr>
            <m:e>
              <m:r>
                <w:rPr>
                  <w:rFonts w:ascii="Latin Modern Math" w:hAnsi="Latin Modern Math"/>
                </w:rPr>
                <m:t>q</m:t>
              </m:r>
            </m:e>
            <m:sup>
              <m:r>
                <m:rPr>
                  <m:sty m:val="p"/>
                </m:rPr>
                <w:rPr>
                  <w:rFonts w:ascii="Latin Modern Math" w:hAnsi="Latin Modern Math"/>
                </w:rPr>
                <m:t>'</m:t>
              </m:r>
            </m:sup>
          </m:sSup>
          <m:r>
            <m:rPr>
              <m:sty m:val="p"/>
            </m:rPr>
            <w:rPr>
              <w:rFonts w:ascii="Latin Modern Math" w:hAnsi="Latin Modern Math"/>
            </w:rPr>
            <m:t>=</m:t>
          </m:r>
          <m:nary>
            <m:naryPr>
              <m:chr m:val="∑"/>
              <m:limLoc m:val="undOvr"/>
              <m:subHide m:val="1"/>
              <m:supHide m:val="1"/>
              <m:ctrlPr>
                <w:rPr>
                  <w:rFonts w:ascii="Latin Modern Math" w:hAnsi="Latin Modern Math"/>
                </w:rPr>
              </m:ctrlPr>
            </m:naryPr>
            <m:sub>
              <m:r>
                <w:rPr>
                  <w:rFonts w:ascii="Latin Modern Math" w:hAnsi="Latin Modern Math"/>
                </w:rPr>
                <m:t>​</m:t>
              </m:r>
            </m:sub>
            <m:sup>
              <m:r>
                <w:rPr>
                  <w:rFonts w:ascii="Latin Modern Math" w:hAnsi="Latin Modern Math"/>
                </w:rPr>
                <m:t>​</m:t>
              </m:r>
            </m:sup>
            <m:e>
              <m:sSub>
                <m:sSubPr>
                  <m:ctrlPr>
                    <w:rPr>
                      <w:rFonts w:ascii="Latin Modern Math" w:hAnsi="Latin Modern Math"/>
                    </w:rPr>
                  </m:ctrlPr>
                </m:sSubPr>
                <m:e>
                  <m:r>
                    <w:rPr>
                      <w:rFonts w:ascii="Latin Modern Math" w:hAnsi="Latin Modern Math"/>
                    </w:rPr>
                    <m:t>c</m:t>
                  </m:r>
                </m:e>
                <m:sub>
                  <m:r>
                    <w:rPr>
                      <w:rFonts w:ascii="Latin Modern Math" w:hAnsi="Latin Modern Math"/>
                    </w:rPr>
                    <m:t>i</m:t>
                  </m:r>
                </m:sub>
              </m:sSub>
            </m:e>
          </m:nary>
          <m:f>
            <m:fPr>
              <m:ctrlPr>
                <w:rPr>
                  <w:rFonts w:ascii="Latin Modern Math" w:hAnsi="Latin Modern Math"/>
                </w:rPr>
              </m:ctrlPr>
            </m:fPr>
            <m:num>
              <m:sSup>
                <m:sSupPr>
                  <m:ctrlPr>
                    <w:rPr>
                      <w:rFonts w:ascii="Latin Modern Math" w:hAnsi="Latin Modern Math"/>
                    </w:rPr>
                  </m:ctrlPr>
                </m:sSupPr>
                <m:e>
                  <m:r>
                    <w:rPr>
                      <w:rFonts w:ascii="Latin Modern Math" w:hAnsi="Latin Modern Math"/>
                    </w:rPr>
                    <m:t>q</m:t>
                  </m:r>
                </m:e>
                <m:sup>
                  <m:r>
                    <w:rPr>
                      <w:rFonts w:ascii="Latin Modern Math" w:hAnsi="Latin Modern Math"/>
                    </w:rPr>
                    <m:t>2</m:t>
                  </m:r>
                </m:sup>
              </m:sSup>
              <m:sSub>
                <m:sSubPr>
                  <m:ctrlPr>
                    <w:rPr>
                      <w:rFonts w:ascii="Latin Modern Math" w:hAnsi="Latin Modern Math"/>
                    </w:rPr>
                  </m:ctrlPr>
                </m:sSubPr>
                <m:e>
                  <m:r>
                    <w:rPr>
                      <w:rFonts w:ascii="Latin Modern Math" w:hAnsi="Latin Modern Math"/>
                    </w:rPr>
                    <m:t>W</m:t>
                  </m:r>
                </m:e>
                <m:sub>
                  <m:r>
                    <w:rPr>
                      <w:rFonts w:ascii="Latin Modern Math" w:hAnsi="Latin Modern Math"/>
                    </w:rPr>
                    <m:t>AAi</m:t>
                  </m:r>
                </m:sub>
              </m:sSub>
              <m:r>
                <m:rPr>
                  <m:sty m:val="p"/>
                </m:rPr>
                <w:rPr>
                  <w:rFonts w:ascii="Latin Modern Math" w:hAnsi="Latin Modern Math"/>
                </w:rPr>
                <m:t>+</m:t>
              </m:r>
              <m:r>
                <w:rPr>
                  <w:rFonts w:ascii="Latin Modern Math" w:hAnsi="Latin Modern Math"/>
                </w:rPr>
                <m:t>q</m:t>
              </m:r>
              <m:d>
                <m:dPr>
                  <m:ctrlPr>
                    <w:rPr>
                      <w:rFonts w:ascii="Latin Modern Math" w:hAnsi="Latin Modern Math"/>
                    </w:rPr>
                  </m:ctrlPr>
                </m:dPr>
                <m:e>
                  <m:r>
                    <w:rPr>
                      <w:rFonts w:ascii="Latin Modern Math" w:hAnsi="Latin Modern Math"/>
                    </w:rPr>
                    <m:t>1</m:t>
                  </m:r>
                  <m:r>
                    <m:rPr>
                      <m:sty m:val="p"/>
                    </m:rPr>
                    <w:rPr>
                      <w:rFonts w:ascii="Latin Modern Math" w:hAnsi="Latin Modern Math"/>
                    </w:rPr>
                    <m:t>-</m:t>
                  </m:r>
                  <m:r>
                    <w:rPr>
                      <w:rFonts w:ascii="Latin Modern Math" w:hAnsi="Latin Modern Math"/>
                    </w:rPr>
                    <m:t>q</m:t>
                  </m:r>
                </m:e>
              </m:d>
            </m:num>
            <m:den>
              <m:sSup>
                <m:sSupPr>
                  <m:ctrlPr>
                    <w:rPr>
                      <w:rFonts w:ascii="Latin Modern Math" w:hAnsi="Latin Modern Math"/>
                    </w:rPr>
                  </m:ctrlPr>
                </m:sSupPr>
                <m:e>
                  <m:r>
                    <w:rPr>
                      <w:rFonts w:ascii="Latin Modern Math" w:hAnsi="Latin Modern Math"/>
                    </w:rPr>
                    <m:t>q</m:t>
                  </m:r>
                </m:e>
                <m:sup>
                  <m:r>
                    <w:rPr>
                      <w:rFonts w:ascii="Latin Modern Math" w:hAnsi="Latin Modern Math"/>
                    </w:rPr>
                    <m:t>2</m:t>
                  </m:r>
                </m:sup>
              </m:sSup>
              <m:sSub>
                <m:sSubPr>
                  <m:ctrlPr>
                    <w:rPr>
                      <w:rFonts w:ascii="Latin Modern Math" w:hAnsi="Latin Modern Math"/>
                    </w:rPr>
                  </m:ctrlPr>
                </m:sSubPr>
                <m:e>
                  <m:r>
                    <w:rPr>
                      <w:rFonts w:ascii="Latin Modern Math" w:hAnsi="Latin Modern Math"/>
                    </w:rPr>
                    <m:t>W</m:t>
                  </m:r>
                </m:e>
                <m:sub>
                  <m:r>
                    <w:rPr>
                      <w:rFonts w:ascii="Latin Modern Math" w:hAnsi="Latin Modern Math"/>
                    </w:rPr>
                    <m:t>AAi</m:t>
                  </m:r>
                </m:sub>
              </m:sSub>
              <m:r>
                <m:rPr>
                  <m:sty m:val="p"/>
                </m:rPr>
                <w:rPr>
                  <w:rFonts w:ascii="Latin Modern Math" w:hAnsi="Latin Modern Math"/>
                </w:rPr>
                <m:t>+</m:t>
              </m:r>
              <m:r>
                <w:rPr>
                  <w:rFonts w:ascii="Latin Modern Math" w:hAnsi="Latin Modern Math"/>
                </w:rPr>
                <m:t>2q</m:t>
              </m:r>
              <m:d>
                <m:dPr>
                  <m:ctrlPr>
                    <w:rPr>
                      <w:rFonts w:ascii="Latin Modern Math" w:hAnsi="Latin Modern Math"/>
                    </w:rPr>
                  </m:ctrlPr>
                </m:dPr>
                <m:e>
                  <m:r>
                    <w:rPr>
                      <w:rFonts w:ascii="Latin Modern Math" w:hAnsi="Latin Modern Math"/>
                    </w:rPr>
                    <m:t>1</m:t>
                  </m:r>
                  <m:r>
                    <m:rPr>
                      <m:sty m:val="p"/>
                    </m:rPr>
                    <w:rPr>
                      <w:rFonts w:ascii="Latin Modern Math" w:hAnsi="Latin Modern Math"/>
                    </w:rPr>
                    <m:t>-</m:t>
                  </m:r>
                  <m:r>
                    <w:rPr>
                      <w:rFonts w:ascii="Latin Modern Math" w:hAnsi="Latin Modern Math"/>
                    </w:rPr>
                    <m:t>q</m:t>
                  </m:r>
                </m:e>
              </m:d>
              <m:r>
                <m:rPr>
                  <m:sty m:val="p"/>
                </m:rPr>
                <w:rPr>
                  <w:rFonts w:ascii="Latin Modern Math" w:hAnsi="Latin Modern Math"/>
                </w:rPr>
                <m:t>+</m:t>
              </m:r>
              <m:sSup>
                <m:sSupPr>
                  <m:ctrlPr>
                    <w:rPr>
                      <w:rFonts w:ascii="Latin Modern Math" w:hAnsi="Latin Modern Math"/>
                    </w:rPr>
                  </m:ctrlPr>
                </m:sSupPr>
                <m:e>
                  <m:d>
                    <m:dPr>
                      <m:ctrlPr>
                        <w:rPr>
                          <w:rFonts w:ascii="Latin Modern Math" w:hAnsi="Latin Modern Math"/>
                        </w:rPr>
                      </m:ctrlPr>
                    </m:dPr>
                    <m:e>
                      <m:r>
                        <w:rPr>
                          <w:rFonts w:ascii="Latin Modern Math" w:hAnsi="Latin Modern Math"/>
                        </w:rPr>
                        <m:t>1</m:t>
                      </m:r>
                      <m:r>
                        <m:rPr>
                          <m:sty m:val="p"/>
                        </m:rPr>
                        <w:rPr>
                          <w:rFonts w:ascii="Latin Modern Math" w:hAnsi="Latin Modern Math"/>
                        </w:rPr>
                        <m:t>-</m:t>
                      </m:r>
                      <m:r>
                        <w:rPr>
                          <w:rFonts w:ascii="Latin Modern Math" w:hAnsi="Latin Modern Math"/>
                        </w:rPr>
                        <m:t>q</m:t>
                      </m:r>
                    </m:e>
                  </m:d>
                </m:e>
                <m:sup>
                  <m:r>
                    <w:rPr>
                      <w:rFonts w:ascii="Latin Modern Math" w:hAnsi="Latin Modern Math"/>
                    </w:rPr>
                    <m:t>2</m:t>
                  </m:r>
                </m:sup>
              </m:sSup>
              <m:sSub>
                <m:sSubPr>
                  <m:ctrlPr>
                    <w:rPr>
                      <w:rFonts w:ascii="Latin Modern Math" w:hAnsi="Latin Modern Math"/>
                    </w:rPr>
                  </m:ctrlPr>
                </m:sSubPr>
                <m:e>
                  <m:r>
                    <w:rPr>
                      <w:rFonts w:ascii="Latin Modern Math" w:hAnsi="Latin Modern Math"/>
                    </w:rPr>
                    <m:t>W</m:t>
                  </m:r>
                </m:e>
                <m:sub>
                  <m:r>
                    <w:rPr>
                      <w:rFonts w:ascii="Latin Modern Math" w:hAnsi="Latin Modern Math"/>
                    </w:rPr>
                    <m:t>BBi</m:t>
                  </m:r>
                </m:sub>
              </m:sSub>
            </m:den>
          </m:f>
          <m:r>
            <m:rPr>
              <m:sty m:val="p"/>
            </m:rPr>
            <w:rPr>
              <w:rFonts w:ascii="Latin Modern Math" w:hAnsi="Latin Modern Math"/>
            </w:rPr>
            <m:t>.</m:t>
          </m:r>
        </m:oMath>
      </m:oMathPara>
    </w:p>
    <w:p w14:paraId="21B8383C" w14:textId="77777777" w:rsidR="00FD0189" w:rsidRDefault="00000000">
      <w:pPr>
        <w:pStyle w:val="FirstParagraph"/>
      </w:pPr>
      <w:r>
        <w:t xml:space="preserve">The change in </w:t>
      </w:r>
      <m:oMath>
        <m:r>
          <w:rPr>
            <w:rFonts w:ascii="Latin Modern Math" w:hAnsi="Latin Modern Math"/>
          </w:rPr>
          <m:t>q</m:t>
        </m:r>
      </m:oMath>
      <w:r>
        <w:t xml:space="preserve"> is simply </w:t>
      </w:r>
      <m:oMath>
        <m:r>
          <m:rPr>
            <m:sty m:val="p"/>
          </m:rPr>
          <w:rPr>
            <w:rFonts w:ascii="Latin Modern Math" w:hAnsi="Latin Modern Math"/>
          </w:rPr>
          <m:t>Δ</m:t>
        </m:r>
        <m:r>
          <w:rPr>
            <w:rFonts w:ascii="Latin Modern Math" w:hAnsi="Latin Modern Math"/>
          </w:rPr>
          <m:t>q</m:t>
        </m:r>
        <m:r>
          <m:rPr>
            <m:sty m:val="p"/>
          </m:rPr>
          <w:rPr>
            <w:rFonts w:ascii="Latin Modern Math" w:hAnsi="Latin Modern Math"/>
          </w:rPr>
          <m:t>=</m:t>
        </m:r>
        <m:sSup>
          <m:sSupPr>
            <m:ctrlPr>
              <w:rPr>
                <w:rFonts w:ascii="Latin Modern Math" w:hAnsi="Latin Modern Math"/>
              </w:rPr>
            </m:ctrlPr>
          </m:sSupPr>
          <m:e>
            <m:r>
              <w:rPr>
                <w:rFonts w:ascii="Latin Modern Math" w:hAnsi="Latin Modern Math"/>
              </w:rPr>
              <m:t>q</m:t>
            </m:r>
          </m:e>
          <m:sup>
            <m:r>
              <m:rPr>
                <m:sty m:val="p"/>
              </m:rPr>
              <w:rPr>
                <w:rFonts w:ascii="Latin Modern Math" w:hAnsi="Latin Modern Math"/>
              </w:rPr>
              <m:t>'</m:t>
            </m:r>
          </m:sup>
        </m:sSup>
        <m:r>
          <m:rPr>
            <m:sty m:val="p"/>
          </m:rPr>
          <w:rPr>
            <w:rFonts w:ascii="Latin Modern Math" w:hAnsi="Latin Modern Math"/>
          </w:rPr>
          <m:t>-</m:t>
        </m:r>
        <m:r>
          <w:rPr>
            <w:rFonts w:ascii="Latin Modern Math" w:hAnsi="Latin Modern Math"/>
          </w:rPr>
          <m:t>q</m:t>
        </m:r>
      </m:oMath>
      <w:r>
        <w:t>. Under these assumptions, Levene showed that allele A will increase when rare (barring genetic drift) when</w:t>
      </w:r>
    </w:p>
    <w:p w14:paraId="33522A9E" w14:textId="77777777" w:rsidR="00FD0189" w:rsidRDefault="00000000">
      <w:pPr>
        <w:pStyle w:val="BodyText"/>
      </w:pPr>
      <m:oMathPara>
        <m:oMathParaPr>
          <m:jc m:val="center"/>
        </m:oMathParaPr>
        <m:oMath>
          <m:f>
            <m:fPr>
              <m:ctrlPr>
                <w:rPr>
                  <w:rFonts w:ascii="Latin Modern Math" w:hAnsi="Latin Modern Math"/>
                </w:rPr>
              </m:ctrlPr>
            </m:fPr>
            <m:num>
              <m:r>
                <w:rPr>
                  <w:rFonts w:ascii="Latin Modern Math" w:hAnsi="Latin Modern Math"/>
                </w:rPr>
                <m:t>1</m:t>
              </m:r>
            </m:num>
            <m:den>
              <m:nary>
                <m:naryPr>
                  <m:chr m:val="∑"/>
                  <m:limLoc m:val="undOvr"/>
                  <m:subHide m:val="1"/>
                  <m:supHide m:val="1"/>
                  <m:ctrlPr>
                    <w:rPr>
                      <w:rFonts w:ascii="Latin Modern Math" w:hAnsi="Latin Modern Math"/>
                    </w:rPr>
                  </m:ctrlPr>
                </m:naryPr>
                <m:sub>
                  <m:r>
                    <w:rPr>
                      <w:rFonts w:ascii="Latin Modern Math" w:hAnsi="Latin Modern Math"/>
                    </w:rPr>
                    <m:t>​</m:t>
                  </m:r>
                </m:sub>
                <m:sup>
                  <m:r>
                    <w:rPr>
                      <w:rFonts w:ascii="Latin Modern Math" w:hAnsi="Latin Modern Math"/>
                    </w:rPr>
                    <m:t>​</m:t>
                  </m:r>
                </m:sup>
                <m:e>
                  <m:sSub>
                    <m:sSubPr>
                      <m:ctrlPr>
                        <w:rPr>
                          <w:rFonts w:ascii="Latin Modern Math" w:hAnsi="Latin Modern Math"/>
                        </w:rPr>
                      </m:ctrlPr>
                    </m:sSubPr>
                    <m:e>
                      <m:r>
                        <w:rPr>
                          <w:rFonts w:ascii="Latin Modern Math" w:hAnsi="Latin Modern Math"/>
                        </w:rPr>
                        <m:t>c</m:t>
                      </m:r>
                    </m:e>
                    <m:sub>
                      <m:r>
                        <w:rPr>
                          <w:rFonts w:ascii="Latin Modern Math" w:hAnsi="Latin Modern Math"/>
                        </w:rPr>
                        <m:t>i</m:t>
                      </m:r>
                    </m:sub>
                  </m:sSub>
                  <m:f>
                    <m:fPr>
                      <m:ctrlPr>
                        <w:rPr>
                          <w:rFonts w:ascii="Latin Modern Math" w:hAnsi="Latin Modern Math"/>
                        </w:rPr>
                      </m:ctrlPr>
                    </m:fPr>
                    <m:num>
                      <m:r>
                        <w:rPr>
                          <w:rFonts w:ascii="Latin Modern Math" w:hAnsi="Latin Modern Math"/>
                        </w:rPr>
                        <m:t>1</m:t>
                      </m:r>
                    </m:num>
                    <m:den>
                      <m:sSub>
                        <m:sSubPr>
                          <m:ctrlPr>
                            <w:rPr>
                              <w:rFonts w:ascii="Latin Modern Math" w:hAnsi="Latin Modern Math"/>
                            </w:rPr>
                          </m:ctrlPr>
                        </m:sSubPr>
                        <m:e>
                          <m:r>
                            <w:rPr>
                              <w:rFonts w:ascii="Latin Modern Math" w:hAnsi="Latin Modern Math"/>
                            </w:rPr>
                            <m:t>W</m:t>
                          </m:r>
                        </m:e>
                        <m:sub>
                          <m:r>
                            <w:rPr>
                              <w:rFonts w:ascii="Latin Modern Math" w:hAnsi="Latin Modern Math"/>
                            </w:rPr>
                            <m:t>AAi</m:t>
                          </m:r>
                        </m:sub>
                      </m:sSub>
                    </m:den>
                  </m:f>
                </m:e>
              </m:nary>
            </m:den>
          </m:f>
          <m:r>
            <m:rPr>
              <m:sty m:val="p"/>
            </m:rPr>
            <w:rPr>
              <w:rFonts w:ascii="Latin Modern Math" w:hAnsi="Latin Modern Math"/>
            </w:rPr>
            <m:t>&lt;</m:t>
          </m:r>
          <m:r>
            <w:rPr>
              <w:rFonts w:ascii="Latin Modern Math" w:hAnsi="Latin Modern Math"/>
            </w:rPr>
            <m:t>1</m:t>
          </m:r>
        </m:oMath>
      </m:oMathPara>
    </w:p>
    <w:p w14:paraId="7239BA8C" w14:textId="77777777" w:rsidR="00FD0189" w:rsidRDefault="00000000">
      <w:pPr>
        <w:pStyle w:val="FirstParagraph"/>
      </w:pPr>
      <w:r>
        <w:t>where the left-hand side gives the harmonic mean fitness for genotype AA over all niches. The right-hand-side of the equation gives the harmonic mean fitness of the heterozygous genotype, AB, which is equal to one. Similarly, the B allele will increase when rare when</w:t>
      </w:r>
    </w:p>
    <w:p w14:paraId="2BB6942E" w14:textId="77777777" w:rsidR="00FD0189" w:rsidRDefault="00000000">
      <w:pPr>
        <w:pStyle w:val="BodyText"/>
      </w:pPr>
      <m:oMathPara>
        <m:oMathParaPr>
          <m:jc m:val="center"/>
        </m:oMathParaPr>
        <m:oMath>
          <m:f>
            <m:fPr>
              <m:ctrlPr>
                <w:rPr>
                  <w:rFonts w:ascii="Latin Modern Math" w:hAnsi="Latin Modern Math"/>
                </w:rPr>
              </m:ctrlPr>
            </m:fPr>
            <m:num>
              <m:r>
                <w:rPr>
                  <w:rFonts w:ascii="Latin Modern Math" w:hAnsi="Latin Modern Math"/>
                </w:rPr>
                <m:t>1</m:t>
              </m:r>
            </m:num>
            <m:den>
              <m:nary>
                <m:naryPr>
                  <m:chr m:val="∑"/>
                  <m:limLoc m:val="undOvr"/>
                  <m:subHide m:val="1"/>
                  <m:supHide m:val="1"/>
                  <m:ctrlPr>
                    <w:rPr>
                      <w:rFonts w:ascii="Latin Modern Math" w:hAnsi="Latin Modern Math"/>
                    </w:rPr>
                  </m:ctrlPr>
                </m:naryPr>
                <m:sub>
                  <m:r>
                    <w:rPr>
                      <w:rFonts w:ascii="Latin Modern Math" w:hAnsi="Latin Modern Math"/>
                    </w:rPr>
                    <m:t>​</m:t>
                  </m:r>
                </m:sub>
                <m:sup>
                  <m:r>
                    <w:rPr>
                      <w:rFonts w:ascii="Latin Modern Math" w:hAnsi="Latin Modern Math"/>
                    </w:rPr>
                    <m:t>​</m:t>
                  </m:r>
                </m:sup>
                <m:e>
                  <m:sSub>
                    <m:sSubPr>
                      <m:ctrlPr>
                        <w:rPr>
                          <w:rFonts w:ascii="Latin Modern Math" w:hAnsi="Latin Modern Math"/>
                        </w:rPr>
                      </m:ctrlPr>
                    </m:sSubPr>
                    <m:e>
                      <m:r>
                        <w:rPr>
                          <w:rFonts w:ascii="Latin Modern Math" w:hAnsi="Latin Modern Math"/>
                        </w:rPr>
                        <m:t>c</m:t>
                      </m:r>
                    </m:e>
                    <m:sub>
                      <m:r>
                        <w:rPr>
                          <w:rFonts w:ascii="Latin Modern Math" w:hAnsi="Latin Modern Math"/>
                        </w:rPr>
                        <m:t>i</m:t>
                      </m:r>
                    </m:sub>
                  </m:sSub>
                  <m:f>
                    <m:fPr>
                      <m:ctrlPr>
                        <w:rPr>
                          <w:rFonts w:ascii="Latin Modern Math" w:hAnsi="Latin Modern Math"/>
                        </w:rPr>
                      </m:ctrlPr>
                    </m:fPr>
                    <m:num>
                      <m:r>
                        <w:rPr>
                          <w:rFonts w:ascii="Latin Modern Math" w:hAnsi="Latin Modern Math"/>
                        </w:rPr>
                        <m:t>1</m:t>
                      </m:r>
                    </m:num>
                    <m:den>
                      <m:sSub>
                        <m:sSubPr>
                          <m:ctrlPr>
                            <w:rPr>
                              <w:rFonts w:ascii="Latin Modern Math" w:hAnsi="Latin Modern Math"/>
                            </w:rPr>
                          </m:ctrlPr>
                        </m:sSubPr>
                        <m:e>
                          <m:r>
                            <w:rPr>
                              <w:rFonts w:ascii="Latin Modern Math" w:hAnsi="Latin Modern Math"/>
                            </w:rPr>
                            <m:t>W</m:t>
                          </m:r>
                        </m:e>
                        <m:sub>
                          <m:r>
                            <w:rPr>
                              <w:rFonts w:ascii="Latin Modern Math" w:hAnsi="Latin Modern Math"/>
                            </w:rPr>
                            <m:t>BBi</m:t>
                          </m:r>
                        </m:sub>
                      </m:sSub>
                    </m:den>
                  </m:f>
                </m:e>
              </m:nary>
            </m:den>
          </m:f>
          <m:r>
            <m:rPr>
              <m:sty m:val="p"/>
            </m:rPr>
            <w:rPr>
              <w:rFonts w:ascii="Latin Modern Math" w:hAnsi="Latin Modern Math"/>
            </w:rPr>
            <m:t>&lt;</m:t>
          </m:r>
          <m:r>
            <w:rPr>
              <w:rFonts w:ascii="Latin Modern Math" w:hAnsi="Latin Modern Math"/>
            </w:rPr>
            <m:t>1</m:t>
          </m:r>
        </m:oMath>
      </m:oMathPara>
    </w:p>
    <w:p w14:paraId="165F845A" w14:textId="77777777" w:rsidR="00FD0189" w:rsidRDefault="00000000">
      <w:pPr>
        <w:pStyle w:val="FirstParagraph"/>
      </w:pPr>
      <w:r>
        <w:t xml:space="preserve">where the left-hand side gives the harmonic mean fitness for genotype BB over all niches. A genetic polymorphism is expected if both alleles can increase when rare; hence, </w:t>
      </w:r>
      <w:r>
        <w:rPr>
          <w:b/>
          <w:bCs/>
        </w:rPr>
        <w:t>polymorphism is expected, in general, when the harmonic mean fitness for the heterozygote is greater than the harmonic mean fitness for either homozygote</w:t>
      </w:r>
      <w:r>
        <w:t>.</w:t>
      </w:r>
    </w:p>
    <w:p w14:paraId="696529CA" w14:textId="77777777" w:rsidR="00FD0189" w:rsidRDefault="00000000">
      <w:pPr>
        <w:pStyle w:val="BodyText"/>
      </w:pPr>
      <w:r>
        <w:t xml:space="preserve">But does this require that the AB genotype is the most fit in at least one niche? </w:t>
      </w:r>
      <w:proofErr w:type="spellStart"/>
      <w:r>
        <w:t>Levene</w:t>
      </w:r>
      <w:proofErr w:type="spellEnd"/>
      <w:r>
        <w:t xml:space="preserve"> gives a specific example to answer this question. He assumes two niches, where the proportion of survivors from both niches is equal (i.e., </w:t>
      </w:r>
      <m:oMath>
        <m:sSub>
          <m:sSubPr>
            <m:ctrlPr>
              <w:rPr>
                <w:rFonts w:ascii="Latin Modern Math" w:hAnsi="Latin Modern Math"/>
              </w:rPr>
            </m:ctrlPr>
          </m:sSubPr>
          <m:e>
            <m:r>
              <w:rPr>
                <w:rFonts w:ascii="Latin Modern Math" w:hAnsi="Latin Modern Math"/>
              </w:rPr>
              <m:t>c</m:t>
            </m:r>
          </m:e>
          <m:sub>
            <m:r>
              <w:rPr>
                <w:rFonts w:ascii="Latin Modern Math" w:hAnsi="Latin Modern Math"/>
              </w:rPr>
              <m:t>1</m:t>
            </m:r>
          </m:sub>
        </m:sSub>
        <m:r>
          <m:rPr>
            <m:sty m:val="p"/>
          </m:rPr>
          <w:rPr>
            <w:rFonts w:ascii="Latin Modern Math" w:hAnsi="Latin Modern Math"/>
          </w:rPr>
          <m:t>=</m:t>
        </m:r>
        <m:sSub>
          <m:sSubPr>
            <m:ctrlPr>
              <w:rPr>
                <w:rFonts w:ascii="Latin Modern Math" w:hAnsi="Latin Modern Math"/>
              </w:rPr>
            </m:ctrlPr>
          </m:sSubPr>
          <m:e>
            <m:r>
              <w:rPr>
                <w:rFonts w:ascii="Latin Modern Math" w:hAnsi="Latin Modern Math"/>
              </w:rPr>
              <m:t>c</m:t>
            </m:r>
          </m:e>
          <m:sub>
            <m:r>
              <w:rPr>
                <w:rFonts w:ascii="Latin Modern Math" w:hAnsi="Latin Modern Math"/>
              </w:rPr>
              <m:t>2</m:t>
            </m:r>
          </m:sub>
        </m:sSub>
        <m:r>
          <m:rPr>
            <m:sty m:val="p"/>
          </m:rPr>
          <w:rPr>
            <w:rFonts w:ascii="Latin Modern Math" w:hAnsi="Latin Modern Math"/>
          </w:rPr>
          <m:t>=</m:t>
        </m:r>
        <m:r>
          <w:rPr>
            <w:rFonts w:ascii="Latin Modern Math" w:hAnsi="Latin Modern Math"/>
          </w:rPr>
          <m:t>0.5</m:t>
        </m:r>
      </m:oMath>
      <w:r>
        <w:t>). He then assumes genotypic fitness values, as given in the following table. It is important to note that the heterozygous genotype is not the most fit genotype in either niche.</w:t>
      </w:r>
    </w:p>
    <w:tbl>
      <w:tblPr>
        <w:tblStyle w:val="Table"/>
        <w:tblW w:w="5000" w:type="pct"/>
        <w:tblLayout w:type="fixed"/>
        <w:tblLook w:val="0020" w:firstRow="1" w:lastRow="0" w:firstColumn="0" w:lastColumn="0" w:noHBand="0" w:noVBand="0"/>
      </w:tblPr>
      <w:tblGrid>
        <w:gridCol w:w="9360"/>
      </w:tblGrid>
      <w:tr w:rsidR="00FD0189" w14:paraId="06712902" w14:textId="77777777" w:rsidTr="007D0981">
        <w:trPr>
          <w:cnfStyle w:val="100000000000" w:firstRow="1" w:lastRow="0" w:firstColumn="0" w:lastColumn="0" w:oddVBand="0" w:evenVBand="0" w:oddHBand="0" w:evenHBand="0" w:firstRowFirstColumn="0" w:firstRowLastColumn="0" w:lastRowFirstColumn="0" w:lastRowLastColumn="0"/>
        </w:trPr>
        <w:tc>
          <w:tcPr>
            <w:tcW w:w="7920" w:type="dxa"/>
          </w:tcPr>
          <w:p w14:paraId="690113F4" w14:textId="77777777" w:rsidR="00FD0189" w:rsidRDefault="00000000">
            <w:pPr>
              <w:pStyle w:val="ImageCaption"/>
              <w:spacing w:before="200"/>
            </w:pPr>
            <w:bookmarkStart w:id="57" w:name="tbl-lev"/>
            <w:r>
              <w:t xml:space="preserve">Table 2.3: </w:t>
            </w:r>
            <w:proofErr w:type="spellStart"/>
            <w:r>
              <w:t>Levene’s</w:t>
            </w:r>
            <w:proofErr w:type="spellEnd"/>
            <w:r>
              <w:t xml:space="preserve"> Example</w:t>
            </w:r>
          </w:p>
          <w:tbl>
            <w:tblPr>
              <w:tblStyle w:val="Table"/>
              <w:tblW w:w="5000" w:type="pct"/>
              <w:tblLayout w:type="fixed"/>
              <w:tblLook w:val="0020" w:firstRow="1" w:lastRow="0" w:firstColumn="0" w:lastColumn="0" w:noHBand="0" w:noVBand="0"/>
            </w:tblPr>
            <w:tblGrid>
              <w:gridCol w:w="1142"/>
              <w:gridCol w:w="2172"/>
              <w:gridCol w:w="2172"/>
              <w:gridCol w:w="1943"/>
              <w:gridCol w:w="1715"/>
            </w:tblGrid>
            <w:tr w:rsidR="00FD0189" w14:paraId="54FD623F" w14:textId="77777777" w:rsidTr="00FD0189">
              <w:trPr>
                <w:cnfStyle w:val="100000000000" w:firstRow="1" w:lastRow="0" w:firstColumn="0" w:lastColumn="0" w:oddVBand="0" w:evenVBand="0" w:oddHBand="0" w:evenHBand="0" w:firstRowFirstColumn="0" w:firstRowLastColumn="0" w:lastRowFirstColumn="0" w:lastRowLastColumn="0"/>
                <w:tblHeader/>
              </w:trPr>
              <w:tc>
                <w:tcPr>
                  <w:tcW w:w="990" w:type="dxa"/>
                </w:tcPr>
                <w:p w14:paraId="69677538" w14:textId="77777777" w:rsidR="00FD0189" w:rsidRDefault="00000000">
                  <w:pPr>
                    <w:pStyle w:val="Compact"/>
                    <w:jc w:val="center"/>
                  </w:pPr>
                  <w:r>
                    <w:t>Genotype</w:t>
                  </w:r>
                </w:p>
              </w:tc>
              <w:tc>
                <w:tcPr>
                  <w:tcW w:w="1881" w:type="dxa"/>
                </w:tcPr>
                <w:p w14:paraId="4108CFAB" w14:textId="77777777" w:rsidR="00FD0189" w:rsidRDefault="00000000">
                  <w:pPr>
                    <w:pStyle w:val="Compact"/>
                    <w:jc w:val="center"/>
                  </w:pPr>
                  <w:r>
                    <w:t>Fitness Niche One</w:t>
                  </w:r>
                </w:p>
              </w:tc>
              <w:tc>
                <w:tcPr>
                  <w:tcW w:w="1881" w:type="dxa"/>
                </w:tcPr>
                <w:p w14:paraId="0A13A34C" w14:textId="77777777" w:rsidR="00FD0189" w:rsidRDefault="00000000">
                  <w:pPr>
                    <w:pStyle w:val="Compact"/>
                    <w:jc w:val="center"/>
                  </w:pPr>
                  <w:r>
                    <w:t>Fitness Niche Two</w:t>
                  </w:r>
                </w:p>
              </w:tc>
              <w:tc>
                <w:tcPr>
                  <w:tcW w:w="1683" w:type="dxa"/>
                </w:tcPr>
                <w:p w14:paraId="2E6C5BB9" w14:textId="77777777" w:rsidR="00FD0189" w:rsidRDefault="00000000">
                  <w:pPr>
                    <w:pStyle w:val="Compact"/>
                    <w:jc w:val="center"/>
                  </w:pPr>
                  <w:r>
                    <w:t>Arithmetic mean</w:t>
                  </w:r>
                </w:p>
              </w:tc>
              <w:tc>
                <w:tcPr>
                  <w:tcW w:w="1485" w:type="dxa"/>
                </w:tcPr>
                <w:p w14:paraId="0E079C21" w14:textId="77777777" w:rsidR="00FD0189" w:rsidRDefault="00000000">
                  <w:pPr>
                    <w:pStyle w:val="Compact"/>
                    <w:jc w:val="center"/>
                  </w:pPr>
                  <w:r>
                    <w:t>Harmonic mean</w:t>
                  </w:r>
                </w:p>
              </w:tc>
            </w:tr>
            <w:tr w:rsidR="00FD0189" w14:paraId="23BBE678" w14:textId="77777777">
              <w:tc>
                <w:tcPr>
                  <w:tcW w:w="990" w:type="dxa"/>
                </w:tcPr>
                <w:p w14:paraId="17AEF6F0" w14:textId="77777777" w:rsidR="00FD0189" w:rsidRDefault="00000000">
                  <w:pPr>
                    <w:pStyle w:val="Compact"/>
                    <w:jc w:val="center"/>
                  </w:pPr>
                  <w:r>
                    <w:t>AA</w:t>
                  </w:r>
                </w:p>
              </w:tc>
              <w:tc>
                <w:tcPr>
                  <w:tcW w:w="1881" w:type="dxa"/>
                </w:tcPr>
                <w:p w14:paraId="2E4405D1" w14:textId="77777777" w:rsidR="00FD0189" w:rsidRDefault="00000000">
                  <w:pPr>
                    <w:pStyle w:val="Compact"/>
                    <w:jc w:val="center"/>
                  </w:pPr>
                  <m:oMath>
                    <m:sSub>
                      <m:sSubPr>
                        <m:ctrlPr>
                          <w:rPr>
                            <w:rFonts w:ascii="Latin Modern Math" w:hAnsi="Latin Modern Math"/>
                          </w:rPr>
                        </m:ctrlPr>
                      </m:sSubPr>
                      <m:e>
                        <m:r>
                          <w:rPr>
                            <w:rFonts w:ascii="Latin Modern Math" w:hAnsi="Latin Modern Math"/>
                          </w:rPr>
                          <m:t>W</m:t>
                        </m:r>
                      </m:e>
                      <m:sub>
                        <m:r>
                          <w:rPr>
                            <w:rFonts w:ascii="Latin Modern Math" w:hAnsi="Latin Modern Math"/>
                          </w:rPr>
                          <m:t>AA1</m:t>
                        </m:r>
                      </m:sub>
                    </m:sSub>
                  </m:oMath>
                  <w:r>
                    <w:t xml:space="preserve"> = 1.50</w:t>
                  </w:r>
                </w:p>
              </w:tc>
              <w:tc>
                <w:tcPr>
                  <w:tcW w:w="1881" w:type="dxa"/>
                </w:tcPr>
                <w:p w14:paraId="029FF859" w14:textId="77777777" w:rsidR="00FD0189" w:rsidRDefault="00000000">
                  <w:pPr>
                    <w:pStyle w:val="Compact"/>
                    <w:jc w:val="center"/>
                  </w:pPr>
                  <m:oMath>
                    <m:sSub>
                      <m:sSubPr>
                        <m:ctrlPr>
                          <w:rPr>
                            <w:rFonts w:ascii="Latin Modern Math" w:hAnsi="Latin Modern Math"/>
                          </w:rPr>
                        </m:ctrlPr>
                      </m:sSubPr>
                      <m:e>
                        <m:r>
                          <w:rPr>
                            <w:rFonts w:ascii="Latin Modern Math" w:hAnsi="Latin Modern Math"/>
                          </w:rPr>
                          <m:t>W</m:t>
                        </m:r>
                      </m:e>
                      <m:sub>
                        <m:r>
                          <w:rPr>
                            <w:rFonts w:ascii="Latin Modern Math" w:hAnsi="Latin Modern Math"/>
                          </w:rPr>
                          <m:t>AA2</m:t>
                        </m:r>
                      </m:sub>
                    </m:sSub>
                  </m:oMath>
                  <w:r>
                    <w:t xml:space="preserve"> = 0.67</w:t>
                  </w:r>
                </w:p>
              </w:tc>
              <w:tc>
                <w:tcPr>
                  <w:tcW w:w="1683" w:type="dxa"/>
                </w:tcPr>
                <w:p w14:paraId="4E072481" w14:textId="77777777" w:rsidR="00FD0189" w:rsidRDefault="00000000">
                  <w:pPr>
                    <w:pStyle w:val="Compact"/>
                    <w:jc w:val="center"/>
                  </w:pPr>
                  <w:r>
                    <w:t>1.09</w:t>
                  </w:r>
                </w:p>
              </w:tc>
              <w:tc>
                <w:tcPr>
                  <w:tcW w:w="1485" w:type="dxa"/>
                </w:tcPr>
                <w:p w14:paraId="03104F39" w14:textId="77777777" w:rsidR="00FD0189" w:rsidRDefault="00000000">
                  <w:pPr>
                    <w:pStyle w:val="Compact"/>
                    <w:jc w:val="center"/>
                  </w:pPr>
                  <w:r>
                    <w:t>0.93</w:t>
                  </w:r>
                </w:p>
              </w:tc>
            </w:tr>
            <w:tr w:rsidR="00FD0189" w14:paraId="5426063B" w14:textId="77777777">
              <w:tc>
                <w:tcPr>
                  <w:tcW w:w="990" w:type="dxa"/>
                </w:tcPr>
                <w:p w14:paraId="7A855C3D" w14:textId="77777777" w:rsidR="00FD0189" w:rsidRDefault="00000000">
                  <w:pPr>
                    <w:pStyle w:val="Compact"/>
                    <w:jc w:val="center"/>
                  </w:pPr>
                  <w:r>
                    <w:lastRenderedPageBreak/>
                    <w:t>AB</w:t>
                  </w:r>
                </w:p>
              </w:tc>
              <w:tc>
                <w:tcPr>
                  <w:tcW w:w="1881" w:type="dxa"/>
                </w:tcPr>
                <w:p w14:paraId="69308E6A" w14:textId="77777777" w:rsidR="00FD0189" w:rsidRDefault="00000000">
                  <w:pPr>
                    <w:pStyle w:val="Compact"/>
                    <w:jc w:val="center"/>
                  </w:pPr>
                  <m:oMath>
                    <m:sSub>
                      <m:sSubPr>
                        <m:ctrlPr>
                          <w:rPr>
                            <w:rFonts w:ascii="Latin Modern Math" w:hAnsi="Latin Modern Math"/>
                          </w:rPr>
                        </m:ctrlPr>
                      </m:sSubPr>
                      <m:e>
                        <m:r>
                          <w:rPr>
                            <w:rFonts w:ascii="Latin Modern Math" w:hAnsi="Latin Modern Math"/>
                          </w:rPr>
                          <m:t>W</m:t>
                        </m:r>
                      </m:e>
                      <m:sub>
                        <m:r>
                          <w:rPr>
                            <w:rFonts w:ascii="Latin Modern Math" w:hAnsi="Latin Modern Math"/>
                          </w:rPr>
                          <m:t>AB1</m:t>
                        </m:r>
                      </m:sub>
                    </m:sSub>
                  </m:oMath>
                  <w:r>
                    <w:t xml:space="preserve"> = 1.00</w:t>
                  </w:r>
                </w:p>
              </w:tc>
              <w:tc>
                <w:tcPr>
                  <w:tcW w:w="1881" w:type="dxa"/>
                </w:tcPr>
                <w:p w14:paraId="06D454E6" w14:textId="77777777" w:rsidR="00FD0189" w:rsidRDefault="00000000">
                  <w:pPr>
                    <w:pStyle w:val="Compact"/>
                    <w:jc w:val="center"/>
                  </w:pPr>
                  <m:oMath>
                    <m:sSub>
                      <m:sSubPr>
                        <m:ctrlPr>
                          <w:rPr>
                            <w:rFonts w:ascii="Latin Modern Math" w:hAnsi="Latin Modern Math"/>
                          </w:rPr>
                        </m:ctrlPr>
                      </m:sSubPr>
                      <m:e>
                        <m:r>
                          <w:rPr>
                            <w:rFonts w:ascii="Latin Modern Math" w:hAnsi="Latin Modern Math"/>
                          </w:rPr>
                          <m:t>W</m:t>
                        </m:r>
                      </m:e>
                      <m:sub>
                        <m:r>
                          <w:rPr>
                            <w:rFonts w:ascii="Latin Modern Math" w:hAnsi="Latin Modern Math"/>
                          </w:rPr>
                          <m:t>AB2</m:t>
                        </m:r>
                      </m:sub>
                    </m:sSub>
                  </m:oMath>
                  <w:r>
                    <w:t xml:space="preserve"> = 1.00</w:t>
                  </w:r>
                </w:p>
              </w:tc>
              <w:tc>
                <w:tcPr>
                  <w:tcW w:w="1683" w:type="dxa"/>
                </w:tcPr>
                <w:p w14:paraId="1AC9AD9C" w14:textId="77777777" w:rsidR="00FD0189" w:rsidRDefault="00000000">
                  <w:pPr>
                    <w:pStyle w:val="Compact"/>
                    <w:jc w:val="center"/>
                  </w:pPr>
                  <w:r>
                    <w:t>1.00</w:t>
                  </w:r>
                </w:p>
              </w:tc>
              <w:tc>
                <w:tcPr>
                  <w:tcW w:w="1485" w:type="dxa"/>
                </w:tcPr>
                <w:p w14:paraId="4615FA09" w14:textId="77777777" w:rsidR="00FD0189" w:rsidRDefault="00000000">
                  <w:pPr>
                    <w:pStyle w:val="Compact"/>
                    <w:jc w:val="center"/>
                  </w:pPr>
                  <w:r>
                    <w:t>1.00</w:t>
                  </w:r>
                </w:p>
              </w:tc>
            </w:tr>
            <w:tr w:rsidR="00FD0189" w14:paraId="75738A4B" w14:textId="77777777">
              <w:tc>
                <w:tcPr>
                  <w:tcW w:w="990" w:type="dxa"/>
                </w:tcPr>
                <w:p w14:paraId="51C9F2E7" w14:textId="77777777" w:rsidR="00FD0189" w:rsidRDefault="00000000">
                  <w:pPr>
                    <w:pStyle w:val="Compact"/>
                    <w:jc w:val="center"/>
                  </w:pPr>
                  <w:r>
                    <w:t>BB</w:t>
                  </w:r>
                </w:p>
              </w:tc>
              <w:tc>
                <w:tcPr>
                  <w:tcW w:w="1881" w:type="dxa"/>
                </w:tcPr>
                <w:p w14:paraId="4B787038" w14:textId="77777777" w:rsidR="00FD0189" w:rsidRDefault="00000000">
                  <w:pPr>
                    <w:pStyle w:val="Compact"/>
                    <w:jc w:val="center"/>
                  </w:pPr>
                  <m:oMath>
                    <m:sSub>
                      <m:sSubPr>
                        <m:ctrlPr>
                          <w:rPr>
                            <w:rFonts w:ascii="Latin Modern Math" w:hAnsi="Latin Modern Math"/>
                          </w:rPr>
                        </m:ctrlPr>
                      </m:sSubPr>
                      <m:e>
                        <m:r>
                          <w:rPr>
                            <w:rFonts w:ascii="Latin Modern Math" w:hAnsi="Latin Modern Math"/>
                          </w:rPr>
                          <m:t>W</m:t>
                        </m:r>
                      </m:e>
                      <m:sub>
                        <m:r>
                          <w:rPr>
                            <w:rFonts w:ascii="Latin Modern Math" w:hAnsi="Latin Modern Math"/>
                          </w:rPr>
                          <m:t>BB1</m:t>
                        </m:r>
                      </m:sub>
                    </m:sSub>
                  </m:oMath>
                  <w:r>
                    <w:t xml:space="preserve"> = 0.67</w:t>
                  </w:r>
                </w:p>
              </w:tc>
              <w:tc>
                <w:tcPr>
                  <w:tcW w:w="1881" w:type="dxa"/>
                </w:tcPr>
                <w:p w14:paraId="6675E830" w14:textId="77777777" w:rsidR="00FD0189" w:rsidRDefault="00000000">
                  <w:pPr>
                    <w:pStyle w:val="Compact"/>
                    <w:jc w:val="center"/>
                  </w:pPr>
                  <m:oMath>
                    <m:sSub>
                      <m:sSubPr>
                        <m:ctrlPr>
                          <w:rPr>
                            <w:rFonts w:ascii="Latin Modern Math" w:hAnsi="Latin Modern Math"/>
                          </w:rPr>
                        </m:ctrlPr>
                      </m:sSubPr>
                      <m:e>
                        <m:r>
                          <w:rPr>
                            <w:rFonts w:ascii="Latin Modern Math" w:hAnsi="Latin Modern Math"/>
                          </w:rPr>
                          <m:t>W</m:t>
                        </m:r>
                      </m:e>
                      <m:sub>
                        <m:r>
                          <w:rPr>
                            <w:rFonts w:ascii="Latin Modern Math" w:hAnsi="Latin Modern Math"/>
                          </w:rPr>
                          <m:t>BB2</m:t>
                        </m:r>
                      </m:sub>
                    </m:sSub>
                  </m:oMath>
                  <w:r>
                    <w:t xml:space="preserve"> = 1.50</w:t>
                  </w:r>
                </w:p>
              </w:tc>
              <w:tc>
                <w:tcPr>
                  <w:tcW w:w="1683" w:type="dxa"/>
                </w:tcPr>
                <w:p w14:paraId="54595D17" w14:textId="77777777" w:rsidR="00FD0189" w:rsidRDefault="00000000">
                  <w:pPr>
                    <w:pStyle w:val="Compact"/>
                    <w:jc w:val="center"/>
                  </w:pPr>
                  <w:r>
                    <w:t>1.09</w:t>
                  </w:r>
                </w:p>
              </w:tc>
              <w:tc>
                <w:tcPr>
                  <w:tcW w:w="1485" w:type="dxa"/>
                </w:tcPr>
                <w:p w14:paraId="03552B87" w14:textId="77777777" w:rsidR="00FD0189" w:rsidRDefault="00000000">
                  <w:pPr>
                    <w:pStyle w:val="Compact"/>
                    <w:jc w:val="center"/>
                  </w:pPr>
                  <w:r>
                    <w:t>0.93</w:t>
                  </w:r>
                </w:p>
              </w:tc>
            </w:tr>
            <w:bookmarkEnd w:id="57"/>
          </w:tbl>
          <w:p w14:paraId="6C8D5E8D" w14:textId="77777777" w:rsidR="00FD0189" w:rsidRDefault="00FD0189"/>
        </w:tc>
      </w:tr>
    </w:tbl>
    <w:p w14:paraId="3E3EE6DA" w14:textId="77777777" w:rsidR="00FD0189" w:rsidRDefault="00000000">
      <w:pPr>
        <w:pStyle w:val="BodyText"/>
      </w:pPr>
      <w:r>
        <w:lastRenderedPageBreak/>
        <w:t xml:space="preserve">For this example, the harmonic mean fitness for the heterozygote is greater than the harmonic mean fitness for either homozygote, thus meeting the conditions given by the equations above. Thus, the answer to </w:t>
      </w:r>
      <w:proofErr w:type="spellStart"/>
      <w:r>
        <w:t>Levene’s</w:t>
      </w:r>
      <w:proofErr w:type="spellEnd"/>
      <w:r>
        <w:t xml:space="preserve"> question is Yes. It is possible to have a genetic polymorphism without having heterozygote advantage in any single niche. And, interestingly, the polymorphism is expected even though the arithmetic mean fitness of the heterozygote is less than the arithmetic mean fitness of either homozygote. Finally, based on this example, it seems that a trade-off is required, such that the AA genotype does best in one niche, and the BB genotype does best in the other niche.</w:t>
      </w:r>
    </w:p>
    <w:p w14:paraId="0E2B0AB8" w14:textId="77777777" w:rsidR="00FD0189" w:rsidRDefault="00000000">
      <w:pPr>
        <w:pStyle w:val="BodyText"/>
      </w:pPr>
      <w:r>
        <w:t xml:space="preserve">Nonetheless, </w:t>
      </w:r>
      <w:proofErr w:type="spellStart"/>
      <w:r>
        <w:t>Levene’s</w:t>
      </w:r>
      <w:proofErr w:type="spellEnd"/>
      <w:r>
        <w:t xml:space="preserve"> result suggests that overdominance for harmonic mean fitness is required for multiple niche polymorphism (</w:t>
      </w:r>
      <w:proofErr w:type="spellStart"/>
      <w:r>
        <w:fldChar w:fldCharType="begin"/>
      </w:r>
      <w:r>
        <w:instrText>HYPERLINK \l "ref-prout1968a" \h</w:instrText>
      </w:r>
      <w:r>
        <w:fldChar w:fldCharType="separate"/>
      </w:r>
      <w:r>
        <w:rPr>
          <w:rStyle w:val="Hyperlink"/>
        </w:rPr>
        <w:t>Prout</w:t>
      </w:r>
      <w:proofErr w:type="spellEnd"/>
      <w:r>
        <w:rPr>
          <w:rStyle w:val="Hyperlink"/>
        </w:rPr>
        <w:t xml:space="preserve"> 1968</w:t>
      </w:r>
      <w:r>
        <w:rPr>
          <w:rStyle w:val="Hyperlink"/>
        </w:rPr>
        <w:fldChar w:fldCharType="end"/>
      </w:r>
      <w:r>
        <w:t xml:space="preserve">). However, Timothy </w:t>
      </w:r>
      <w:proofErr w:type="spellStart"/>
      <w:r>
        <w:t>Prout</w:t>
      </w:r>
      <w:proofErr w:type="spellEnd"/>
      <w:r>
        <w:t xml:space="preserve"> (</w:t>
      </w:r>
      <w:hyperlink w:anchor="ref-prout1968a">
        <w:r>
          <w:rPr>
            <w:rStyle w:val="Hyperlink"/>
          </w:rPr>
          <w:t>1968</w:t>
        </w:r>
      </w:hyperlink>
      <w:r>
        <w:t>) showed that a polymorphism could be stable even if one allele is dominant, thus ruling out any kind of overdominance. Let both the AA and AB genotypes have a fitness of one in both niches. Let the BB genotype have a fitness of 0.5 in niche one and a fitness of 1.67 in niche two. Assuming as above that both patches are equally common, we get the following table:</w:t>
      </w:r>
    </w:p>
    <w:tbl>
      <w:tblPr>
        <w:tblStyle w:val="Table"/>
        <w:tblW w:w="5000" w:type="pct"/>
        <w:tblLayout w:type="fixed"/>
        <w:tblLook w:val="0020" w:firstRow="1" w:lastRow="0" w:firstColumn="0" w:lastColumn="0" w:noHBand="0" w:noVBand="0"/>
      </w:tblPr>
      <w:tblGrid>
        <w:gridCol w:w="9360"/>
      </w:tblGrid>
      <w:tr w:rsidR="00FD0189" w14:paraId="32428E70" w14:textId="77777777" w:rsidTr="007D0981">
        <w:trPr>
          <w:cnfStyle w:val="100000000000" w:firstRow="1" w:lastRow="0" w:firstColumn="0" w:lastColumn="0" w:oddVBand="0" w:evenVBand="0" w:oddHBand="0" w:evenHBand="0" w:firstRowFirstColumn="0" w:firstRowLastColumn="0" w:lastRowFirstColumn="0" w:lastRowLastColumn="0"/>
        </w:trPr>
        <w:tc>
          <w:tcPr>
            <w:tcW w:w="7920" w:type="dxa"/>
          </w:tcPr>
          <w:p w14:paraId="2447004C" w14:textId="77777777" w:rsidR="00FD0189" w:rsidRDefault="00000000">
            <w:pPr>
              <w:pStyle w:val="ImageCaption"/>
              <w:spacing w:before="200"/>
            </w:pPr>
            <w:bookmarkStart w:id="58" w:name="tbl-pro"/>
            <w:r>
              <w:t xml:space="preserve">Table 2.4: </w:t>
            </w:r>
            <w:proofErr w:type="spellStart"/>
            <w:r>
              <w:t>Prout’s</w:t>
            </w:r>
            <w:proofErr w:type="spellEnd"/>
            <w:r>
              <w:t xml:space="preserve"> Example</w:t>
            </w:r>
          </w:p>
          <w:tbl>
            <w:tblPr>
              <w:tblStyle w:val="Table"/>
              <w:tblW w:w="5000" w:type="pct"/>
              <w:tblLayout w:type="fixed"/>
              <w:tblLook w:val="0020" w:firstRow="1" w:lastRow="0" w:firstColumn="0" w:lastColumn="0" w:noHBand="0" w:noVBand="0"/>
            </w:tblPr>
            <w:tblGrid>
              <w:gridCol w:w="1128"/>
              <w:gridCol w:w="2145"/>
              <w:gridCol w:w="2145"/>
              <w:gridCol w:w="1920"/>
              <w:gridCol w:w="1806"/>
            </w:tblGrid>
            <w:tr w:rsidR="00FD0189" w14:paraId="380C89D5" w14:textId="77777777" w:rsidTr="00FD0189">
              <w:trPr>
                <w:cnfStyle w:val="100000000000" w:firstRow="1" w:lastRow="0" w:firstColumn="0" w:lastColumn="0" w:oddVBand="0" w:evenVBand="0" w:oddHBand="0" w:evenHBand="0" w:firstRowFirstColumn="0" w:firstRowLastColumn="0" w:lastRowFirstColumn="0" w:lastRowLastColumn="0"/>
                <w:tblHeader/>
              </w:trPr>
              <w:tc>
                <w:tcPr>
                  <w:tcW w:w="977" w:type="dxa"/>
                </w:tcPr>
                <w:p w14:paraId="52E33A13" w14:textId="77777777" w:rsidR="00FD0189" w:rsidRDefault="00000000">
                  <w:pPr>
                    <w:pStyle w:val="Compact"/>
                    <w:jc w:val="center"/>
                  </w:pPr>
                  <w:r>
                    <w:t>Genotype</w:t>
                  </w:r>
                </w:p>
              </w:tc>
              <w:tc>
                <w:tcPr>
                  <w:tcW w:w="1857" w:type="dxa"/>
                </w:tcPr>
                <w:p w14:paraId="7237DC44" w14:textId="77777777" w:rsidR="00FD0189" w:rsidRDefault="00000000">
                  <w:pPr>
                    <w:pStyle w:val="Compact"/>
                    <w:jc w:val="center"/>
                  </w:pPr>
                  <w:r>
                    <w:t>Fitness Niche One</w:t>
                  </w:r>
                </w:p>
              </w:tc>
              <w:tc>
                <w:tcPr>
                  <w:tcW w:w="1857" w:type="dxa"/>
                </w:tcPr>
                <w:p w14:paraId="640A1616" w14:textId="77777777" w:rsidR="00FD0189" w:rsidRDefault="00000000">
                  <w:pPr>
                    <w:pStyle w:val="Compact"/>
                    <w:jc w:val="center"/>
                  </w:pPr>
                  <w:r>
                    <w:t>Fitness Niche Two</w:t>
                  </w:r>
                </w:p>
              </w:tc>
              <w:tc>
                <w:tcPr>
                  <w:tcW w:w="1662" w:type="dxa"/>
                </w:tcPr>
                <w:p w14:paraId="71FE2DB8" w14:textId="77777777" w:rsidR="00FD0189" w:rsidRDefault="00000000">
                  <w:pPr>
                    <w:pStyle w:val="Compact"/>
                    <w:jc w:val="center"/>
                  </w:pPr>
                  <w:r>
                    <w:t>Arithmetic mean</w:t>
                  </w:r>
                </w:p>
              </w:tc>
              <w:tc>
                <w:tcPr>
                  <w:tcW w:w="1564" w:type="dxa"/>
                </w:tcPr>
                <w:p w14:paraId="3F2CE2FB" w14:textId="77777777" w:rsidR="00FD0189" w:rsidRDefault="00000000">
                  <w:pPr>
                    <w:pStyle w:val="Compact"/>
                    <w:jc w:val="center"/>
                  </w:pPr>
                  <w:r>
                    <w:t>Harmonic mean</w:t>
                  </w:r>
                </w:p>
              </w:tc>
            </w:tr>
            <w:tr w:rsidR="00FD0189" w14:paraId="53380301" w14:textId="77777777">
              <w:tc>
                <w:tcPr>
                  <w:tcW w:w="977" w:type="dxa"/>
                </w:tcPr>
                <w:p w14:paraId="54107144" w14:textId="77777777" w:rsidR="00FD0189" w:rsidRDefault="00000000">
                  <w:pPr>
                    <w:pStyle w:val="Compact"/>
                    <w:jc w:val="center"/>
                  </w:pPr>
                  <w:r>
                    <w:t>AA</w:t>
                  </w:r>
                </w:p>
              </w:tc>
              <w:tc>
                <w:tcPr>
                  <w:tcW w:w="1857" w:type="dxa"/>
                </w:tcPr>
                <w:p w14:paraId="15D62316" w14:textId="77777777" w:rsidR="00FD0189" w:rsidRDefault="00000000">
                  <w:pPr>
                    <w:pStyle w:val="Compact"/>
                    <w:jc w:val="center"/>
                  </w:pPr>
                  <m:oMath>
                    <m:sSub>
                      <m:sSubPr>
                        <m:ctrlPr>
                          <w:rPr>
                            <w:rFonts w:ascii="Latin Modern Math" w:hAnsi="Latin Modern Math"/>
                          </w:rPr>
                        </m:ctrlPr>
                      </m:sSubPr>
                      <m:e>
                        <m:r>
                          <w:rPr>
                            <w:rFonts w:ascii="Latin Modern Math" w:hAnsi="Latin Modern Math"/>
                          </w:rPr>
                          <m:t>W</m:t>
                        </m:r>
                      </m:e>
                      <m:sub>
                        <m:r>
                          <w:rPr>
                            <w:rFonts w:ascii="Latin Modern Math" w:hAnsi="Latin Modern Math"/>
                          </w:rPr>
                          <m:t>AA1</m:t>
                        </m:r>
                      </m:sub>
                    </m:sSub>
                  </m:oMath>
                  <w:r>
                    <w:t xml:space="preserve"> = 1.00</w:t>
                  </w:r>
                </w:p>
              </w:tc>
              <w:tc>
                <w:tcPr>
                  <w:tcW w:w="1857" w:type="dxa"/>
                </w:tcPr>
                <w:p w14:paraId="530CAD40" w14:textId="77777777" w:rsidR="00FD0189" w:rsidRDefault="00000000">
                  <w:pPr>
                    <w:pStyle w:val="Compact"/>
                    <w:jc w:val="center"/>
                  </w:pPr>
                  <m:oMath>
                    <m:sSub>
                      <m:sSubPr>
                        <m:ctrlPr>
                          <w:rPr>
                            <w:rFonts w:ascii="Latin Modern Math" w:hAnsi="Latin Modern Math"/>
                          </w:rPr>
                        </m:ctrlPr>
                      </m:sSubPr>
                      <m:e>
                        <m:r>
                          <w:rPr>
                            <w:rFonts w:ascii="Latin Modern Math" w:hAnsi="Latin Modern Math"/>
                          </w:rPr>
                          <m:t>W</m:t>
                        </m:r>
                      </m:e>
                      <m:sub>
                        <m:r>
                          <w:rPr>
                            <w:rFonts w:ascii="Latin Modern Math" w:hAnsi="Latin Modern Math"/>
                          </w:rPr>
                          <m:t>AA2</m:t>
                        </m:r>
                      </m:sub>
                    </m:sSub>
                  </m:oMath>
                  <w:r>
                    <w:t xml:space="preserve"> = 1.00</w:t>
                  </w:r>
                </w:p>
              </w:tc>
              <w:tc>
                <w:tcPr>
                  <w:tcW w:w="1662" w:type="dxa"/>
                </w:tcPr>
                <w:p w14:paraId="285F5B2D" w14:textId="77777777" w:rsidR="00FD0189" w:rsidRDefault="00000000">
                  <w:pPr>
                    <w:pStyle w:val="Compact"/>
                    <w:jc w:val="center"/>
                  </w:pPr>
                  <w:r>
                    <w:t>1.00</w:t>
                  </w:r>
                </w:p>
              </w:tc>
              <w:tc>
                <w:tcPr>
                  <w:tcW w:w="1564" w:type="dxa"/>
                </w:tcPr>
                <w:p w14:paraId="6D39888A" w14:textId="77777777" w:rsidR="00FD0189" w:rsidRDefault="00000000">
                  <w:pPr>
                    <w:pStyle w:val="Compact"/>
                    <w:jc w:val="center"/>
                  </w:pPr>
                  <w:r>
                    <w:t>1.00</w:t>
                  </w:r>
                </w:p>
              </w:tc>
            </w:tr>
            <w:tr w:rsidR="00FD0189" w14:paraId="3E9DB1C7" w14:textId="77777777">
              <w:tc>
                <w:tcPr>
                  <w:tcW w:w="977" w:type="dxa"/>
                </w:tcPr>
                <w:p w14:paraId="26D8145B" w14:textId="77777777" w:rsidR="00FD0189" w:rsidRDefault="00000000">
                  <w:pPr>
                    <w:pStyle w:val="Compact"/>
                    <w:jc w:val="center"/>
                  </w:pPr>
                  <w:r>
                    <w:t>AB</w:t>
                  </w:r>
                </w:p>
              </w:tc>
              <w:tc>
                <w:tcPr>
                  <w:tcW w:w="1857" w:type="dxa"/>
                </w:tcPr>
                <w:p w14:paraId="4A91BC7A" w14:textId="77777777" w:rsidR="00FD0189" w:rsidRDefault="00000000">
                  <w:pPr>
                    <w:pStyle w:val="Compact"/>
                    <w:jc w:val="center"/>
                  </w:pPr>
                  <m:oMath>
                    <m:sSub>
                      <m:sSubPr>
                        <m:ctrlPr>
                          <w:rPr>
                            <w:rFonts w:ascii="Latin Modern Math" w:hAnsi="Latin Modern Math"/>
                          </w:rPr>
                        </m:ctrlPr>
                      </m:sSubPr>
                      <m:e>
                        <m:r>
                          <w:rPr>
                            <w:rFonts w:ascii="Latin Modern Math" w:hAnsi="Latin Modern Math"/>
                          </w:rPr>
                          <m:t>W</m:t>
                        </m:r>
                      </m:e>
                      <m:sub>
                        <m:r>
                          <w:rPr>
                            <w:rFonts w:ascii="Latin Modern Math" w:hAnsi="Latin Modern Math"/>
                          </w:rPr>
                          <m:t>AB1</m:t>
                        </m:r>
                      </m:sub>
                    </m:sSub>
                  </m:oMath>
                  <w:r>
                    <w:t xml:space="preserve"> = 1.00</w:t>
                  </w:r>
                </w:p>
              </w:tc>
              <w:tc>
                <w:tcPr>
                  <w:tcW w:w="1857" w:type="dxa"/>
                </w:tcPr>
                <w:p w14:paraId="53F870DB" w14:textId="77777777" w:rsidR="00FD0189" w:rsidRDefault="00000000">
                  <w:pPr>
                    <w:pStyle w:val="Compact"/>
                    <w:jc w:val="center"/>
                  </w:pPr>
                  <m:oMath>
                    <m:sSub>
                      <m:sSubPr>
                        <m:ctrlPr>
                          <w:rPr>
                            <w:rFonts w:ascii="Latin Modern Math" w:hAnsi="Latin Modern Math"/>
                          </w:rPr>
                        </m:ctrlPr>
                      </m:sSubPr>
                      <m:e>
                        <m:r>
                          <w:rPr>
                            <w:rFonts w:ascii="Latin Modern Math" w:hAnsi="Latin Modern Math"/>
                          </w:rPr>
                          <m:t>W</m:t>
                        </m:r>
                      </m:e>
                      <m:sub>
                        <m:r>
                          <w:rPr>
                            <w:rFonts w:ascii="Latin Modern Math" w:hAnsi="Latin Modern Math"/>
                          </w:rPr>
                          <m:t>AB2</m:t>
                        </m:r>
                      </m:sub>
                    </m:sSub>
                  </m:oMath>
                  <w:r>
                    <w:t xml:space="preserve"> = 1.00</w:t>
                  </w:r>
                </w:p>
              </w:tc>
              <w:tc>
                <w:tcPr>
                  <w:tcW w:w="1662" w:type="dxa"/>
                </w:tcPr>
                <w:p w14:paraId="7D0E67E8" w14:textId="77777777" w:rsidR="00FD0189" w:rsidRDefault="00000000">
                  <w:pPr>
                    <w:pStyle w:val="Compact"/>
                    <w:jc w:val="center"/>
                  </w:pPr>
                  <w:r>
                    <w:t>1.00</w:t>
                  </w:r>
                </w:p>
              </w:tc>
              <w:tc>
                <w:tcPr>
                  <w:tcW w:w="1564" w:type="dxa"/>
                </w:tcPr>
                <w:p w14:paraId="2CB53421" w14:textId="77777777" w:rsidR="00FD0189" w:rsidRDefault="00000000">
                  <w:pPr>
                    <w:pStyle w:val="Compact"/>
                    <w:jc w:val="center"/>
                  </w:pPr>
                  <w:r>
                    <w:t>1.00</w:t>
                  </w:r>
                </w:p>
              </w:tc>
            </w:tr>
            <w:tr w:rsidR="00FD0189" w14:paraId="0DE4AB9F" w14:textId="77777777">
              <w:tc>
                <w:tcPr>
                  <w:tcW w:w="977" w:type="dxa"/>
                </w:tcPr>
                <w:p w14:paraId="42B9E653" w14:textId="77777777" w:rsidR="00FD0189" w:rsidRDefault="00000000">
                  <w:pPr>
                    <w:pStyle w:val="Compact"/>
                    <w:jc w:val="center"/>
                  </w:pPr>
                  <w:r>
                    <w:t>BB</w:t>
                  </w:r>
                </w:p>
              </w:tc>
              <w:tc>
                <w:tcPr>
                  <w:tcW w:w="1857" w:type="dxa"/>
                </w:tcPr>
                <w:p w14:paraId="70C5DF7B" w14:textId="77777777" w:rsidR="00FD0189" w:rsidRDefault="00000000">
                  <w:pPr>
                    <w:pStyle w:val="Compact"/>
                    <w:jc w:val="center"/>
                  </w:pPr>
                  <m:oMath>
                    <m:sSub>
                      <m:sSubPr>
                        <m:ctrlPr>
                          <w:rPr>
                            <w:rFonts w:ascii="Latin Modern Math" w:hAnsi="Latin Modern Math"/>
                          </w:rPr>
                        </m:ctrlPr>
                      </m:sSubPr>
                      <m:e>
                        <m:r>
                          <w:rPr>
                            <w:rFonts w:ascii="Latin Modern Math" w:hAnsi="Latin Modern Math"/>
                          </w:rPr>
                          <m:t>W</m:t>
                        </m:r>
                      </m:e>
                      <m:sub>
                        <m:r>
                          <w:rPr>
                            <w:rFonts w:ascii="Latin Modern Math" w:hAnsi="Latin Modern Math"/>
                          </w:rPr>
                          <m:t>BB1</m:t>
                        </m:r>
                      </m:sub>
                    </m:sSub>
                  </m:oMath>
                  <w:r>
                    <w:t xml:space="preserve"> = 0.50</w:t>
                  </w:r>
                </w:p>
              </w:tc>
              <w:tc>
                <w:tcPr>
                  <w:tcW w:w="1857" w:type="dxa"/>
                </w:tcPr>
                <w:p w14:paraId="721B7003" w14:textId="77777777" w:rsidR="00FD0189" w:rsidRDefault="00000000">
                  <w:pPr>
                    <w:pStyle w:val="Compact"/>
                    <w:jc w:val="center"/>
                  </w:pPr>
                  <m:oMath>
                    <m:sSub>
                      <m:sSubPr>
                        <m:ctrlPr>
                          <w:rPr>
                            <w:rFonts w:ascii="Latin Modern Math" w:hAnsi="Latin Modern Math"/>
                          </w:rPr>
                        </m:ctrlPr>
                      </m:sSubPr>
                      <m:e>
                        <m:r>
                          <w:rPr>
                            <w:rFonts w:ascii="Latin Modern Math" w:hAnsi="Latin Modern Math"/>
                          </w:rPr>
                          <m:t>W</m:t>
                        </m:r>
                      </m:e>
                      <m:sub>
                        <m:r>
                          <w:rPr>
                            <w:rFonts w:ascii="Latin Modern Math" w:hAnsi="Latin Modern Math"/>
                          </w:rPr>
                          <m:t>BB2</m:t>
                        </m:r>
                      </m:sub>
                    </m:sSub>
                  </m:oMath>
                  <w:r>
                    <w:t xml:space="preserve"> = 1.67</w:t>
                  </w:r>
                </w:p>
              </w:tc>
              <w:tc>
                <w:tcPr>
                  <w:tcW w:w="1662" w:type="dxa"/>
                </w:tcPr>
                <w:p w14:paraId="21A50686" w14:textId="77777777" w:rsidR="00FD0189" w:rsidRDefault="00000000">
                  <w:pPr>
                    <w:pStyle w:val="Compact"/>
                    <w:jc w:val="center"/>
                  </w:pPr>
                  <w:r>
                    <w:t>1.09</w:t>
                  </w:r>
                </w:p>
              </w:tc>
              <w:tc>
                <w:tcPr>
                  <w:tcW w:w="1564" w:type="dxa"/>
                </w:tcPr>
                <w:p w14:paraId="52F7F7A7" w14:textId="77777777" w:rsidR="00FD0189" w:rsidRDefault="00000000">
                  <w:pPr>
                    <w:pStyle w:val="Compact"/>
                    <w:jc w:val="center"/>
                  </w:pPr>
                  <w:r>
                    <w:t>0.77</w:t>
                  </w:r>
                </w:p>
              </w:tc>
            </w:tr>
            <w:bookmarkEnd w:id="58"/>
          </w:tbl>
          <w:p w14:paraId="1898A019" w14:textId="77777777" w:rsidR="00FD0189" w:rsidRDefault="00FD0189"/>
        </w:tc>
      </w:tr>
    </w:tbl>
    <w:p w14:paraId="3E5F30BC" w14:textId="77777777" w:rsidR="00FD0189" w:rsidRDefault="00000000">
      <w:pPr>
        <w:pStyle w:val="BodyText"/>
      </w:pPr>
      <w:proofErr w:type="spellStart"/>
      <w:r>
        <w:t>Prout</w:t>
      </w:r>
      <w:proofErr w:type="spellEnd"/>
      <w:r>
        <w:t xml:space="preserve"> showed that there would be a stable multiple niche polymorphism even under complete dominance, provided that the arithmetic mean fitness for BB is greater than one and the harmonic mean fitness for the BB genotype is less than one. So, clearly, overdominance for harmonic mean fitness is not required for a stable polymorphism.</w:t>
      </w:r>
      <w:r>
        <w:rPr>
          <w:rStyle w:val="FootnoteReference"/>
        </w:rPr>
        <w:footnoteReference w:id="23"/>
      </w:r>
    </w:p>
    <w:p w14:paraId="64DD722A" w14:textId="77777777" w:rsidR="00FD0189" w:rsidRDefault="00000000">
      <w:pPr>
        <w:pStyle w:val="BodyText"/>
      </w:pPr>
      <w:r>
        <w:t xml:space="preserve">The plot below shows </w:t>
      </w:r>
      <m:oMath>
        <m:r>
          <w:rPr>
            <w:rFonts w:ascii="Latin Modern Math" w:hAnsi="Latin Modern Math"/>
          </w:rPr>
          <m:t>Δq</m:t>
        </m:r>
      </m:oMath>
      <w:r>
        <w:t xml:space="preserve"> as a function of </w:t>
      </w:r>
      <m:oMath>
        <m:r>
          <w:rPr>
            <w:rFonts w:ascii="Latin Modern Math" w:hAnsi="Latin Modern Math"/>
          </w:rPr>
          <m:t>q</m:t>
        </m:r>
      </m:oMath>
      <w:r>
        <w:t xml:space="preserve"> for Prout’s model of dominance. Note that </w:t>
      </w:r>
      <m:oMath>
        <m:r>
          <w:rPr>
            <w:rFonts w:ascii="Latin Modern Math" w:hAnsi="Latin Modern Math"/>
          </w:rPr>
          <m:t>Δq</m:t>
        </m:r>
      </m:oMath>
      <w:r>
        <w:t xml:space="preserve"> is positive when </w:t>
      </w:r>
      <m:oMath>
        <m:r>
          <w:rPr>
            <w:rFonts w:ascii="Latin Modern Math" w:hAnsi="Latin Modern Math"/>
          </w:rPr>
          <m:t>q</m:t>
        </m:r>
      </m:oMath>
      <w:r>
        <w:t xml:space="preserve"> is near zero, and that </w:t>
      </w:r>
      <m:oMath>
        <m:r>
          <w:rPr>
            <w:rFonts w:ascii="Latin Modern Math" w:hAnsi="Latin Modern Math"/>
          </w:rPr>
          <m:t>Δq</m:t>
        </m:r>
      </m:oMath>
      <w:r>
        <w:t xml:space="preserve"> is negative when </w:t>
      </w:r>
      <m:oMath>
        <m:r>
          <w:rPr>
            <w:rFonts w:ascii="Latin Modern Math" w:hAnsi="Latin Modern Math"/>
          </w:rPr>
          <m:t>q</m:t>
        </m:r>
      </m:oMath>
      <w:r>
        <w:t xml:space="preserve"> is near one. There is an interior equilibrium near </w:t>
      </w:r>
      <m:oMath>
        <m:r>
          <w:rPr>
            <w:rFonts w:ascii="Latin Modern Math" w:hAnsi="Latin Modern Math"/>
          </w:rPr>
          <m:t>q</m:t>
        </m:r>
        <m:r>
          <m:rPr>
            <m:sty m:val="p"/>
          </m:rPr>
          <w:rPr>
            <w:rFonts w:ascii="Latin Modern Math" w:hAnsi="Latin Modern Math"/>
          </w:rPr>
          <m:t>=</m:t>
        </m:r>
        <m:r>
          <w:rPr>
            <w:rFonts w:ascii="Latin Modern Math" w:hAnsi="Latin Modern Math"/>
          </w:rPr>
          <m:t>0.5</m:t>
        </m:r>
      </m:oMath>
      <w:r>
        <w:t>.</w:t>
      </w:r>
    </w:p>
    <w:p w14:paraId="1E71953E" w14:textId="77777777" w:rsidR="00FD0189" w:rsidRDefault="00000000">
      <w:pPr>
        <w:pStyle w:val="CaptionedFigure"/>
      </w:pPr>
      <w:r>
        <w:rPr>
          <w:noProof/>
        </w:rPr>
        <w:lastRenderedPageBreak/>
        <w:drawing>
          <wp:inline distT="0" distB="0" distL="0" distR="0" wp14:anchorId="0DA22282" wp14:editId="20129930">
            <wp:extent cx="3863340" cy="2228187"/>
            <wp:effectExtent l="0" t="0" r="0" b="0"/>
            <wp:docPr id="124" name="Picture" descr="\Delta q as a function of q for Prout’s model of dominance"/>
            <wp:cNvGraphicFramePr/>
            <a:graphic xmlns:a="http://schemas.openxmlformats.org/drawingml/2006/main">
              <a:graphicData uri="http://schemas.openxmlformats.org/drawingml/2006/picture">
                <pic:pic xmlns:pic="http://schemas.openxmlformats.org/drawingml/2006/picture">
                  <pic:nvPicPr>
                    <pic:cNvPr id="125" name="Picture" descr="images/fig2-5_hr.png"/>
                    <pic:cNvPicPr>
                      <a:picLocks noChangeAspect="1" noChangeArrowheads="1"/>
                    </pic:cNvPicPr>
                  </pic:nvPicPr>
                  <pic:blipFill>
                    <a:blip r:embed="rId42"/>
                    <a:stretch>
                      <a:fillRect/>
                    </a:stretch>
                  </pic:blipFill>
                  <pic:spPr bwMode="auto">
                    <a:xfrm>
                      <a:off x="0" y="0"/>
                      <a:ext cx="3863340" cy="2228187"/>
                    </a:xfrm>
                    <a:prstGeom prst="rect">
                      <a:avLst/>
                    </a:prstGeom>
                    <a:noFill/>
                    <a:ln w="9525">
                      <a:noFill/>
                      <a:headEnd/>
                      <a:tailEnd/>
                    </a:ln>
                  </pic:spPr>
                </pic:pic>
              </a:graphicData>
            </a:graphic>
          </wp:inline>
        </w:drawing>
      </w:r>
    </w:p>
    <w:p w14:paraId="06773927" w14:textId="77777777" w:rsidR="00FD0189" w:rsidRDefault="00000000">
      <w:pPr>
        <w:pStyle w:val="ImageCaption"/>
      </w:pPr>
      <m:oMath>
        <m:r>
          <w:rPr>
            <w:rFonts w:ascii="Latin Modern Math" w:hAnsi="Latin Modern Math"/>
          </w:rPr>
          <m:t>Δq</m:t>
        </m:r>
      </m:oMath>
      <w:r>
        <w:t xml:space="preserve"> as a function of </w:t>
      </w:r>
      <m:oMath>
        <m:r>
          <w:rPr>
            <w:rFonts w:ascii="Latin Modern Math" w:hAnsi="Latin Modern Math"/>
          </w:rPr>
          <m:t>q</m:t>
        </m:r>
      </m:oMath>
      <w:r>
        <w:t xml:space="preserve"> for Prout’s model of dominance</w:t>
      </w:r>
    </w:p>
    <w:p w14:paraId="26D8478A" w14:textId="77777777" w:rsidR="00FD0189" w:rsidRDefault="00000000">
      <w:pPr>
        <w:pStyle w:val="Heading1"/>
      </w:pPr>
      <w:bookmarkStart w:id="59" w:name="sec-eco-hyp-cont"/>
      <w:bookmarkStart w:id="60" w:name="_Toc159248499"/>
      <w:bookmarkEnd w:id="36"/>
      <w:bookmarkEnd w:id="55"/>
      <w:r>
        <w:lastRenderedPageBreak/>
        <w:t>3. Contrasting the Ecological Hypotheses</w:t>
      </w:r>
      <w:bookmarkEnd w:id="60"/>
    </w:p>
    <w:p w14:paraId="523D3FB7" w14:textId="77777777" w:rsidR="00FD0189" w:rsidRDefault="00000000">
      <w:pPr>
        <w:pStyle w:val="FirstParagraph"/>
      </w:pPr>
      <w:r>
        <w:rPr>
          <w:noProof/>
        </w:rPr>
        <w:drawing>
          <wp:inline distT="0" distB="0" distL="0" distR="0" wp14:anchorId="048B969D" wp14:editId="24443214">
            <wp:extent cx="1834895" cy="2584704"/>
            <wp:effectExtent l="0" t="0" r="0" b="0"/>
            <wp:docPr id="129" name="Pictur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29" name="Picture">
                      <a:extLst>
                        <a:ext uri="{C183D7F6-B498-43B3-948B-1728B52AA6E4}">
                          <adec:decorative xmlns:adec="http://schemas.microsoft.com/office/drawing/2017/decorative" val="1"/>
                        </a:ext>
                      </a:extLst>
                    </pic:cNvPr>
                    <pic:cNvPicPr>
                      <a:picLocks noChangeAspect="1" noChangeArrowheads="1"/>
                    </pic:cNvPicPr>
                  </pic:nvPicPr>
                  <pic:blipFill>
                    <a:blip r:embed="rId43"/>
                    <a:stretch>
                      <a:fillRect/>
                    </a:stretch>
                  </pic:blipFill>
                  <pic:spPr bwMode="auto">
                    <a:xfrm>
                      <a:off x="0" y="0"/>
                      <a:ext cx="1834895" cy="2584704"/>
                    </a:xfrm>
                    <a:prstGeom prst="rect">
                      <a:avLst/>
                    </a:prstGeom>
                    <a:noFill/>
                    <a:ln w="9525">
                      <a:noFill/>
                      <a:headEnd/>
                      <a:tailEnd/>
                    </a:ln>
                  </pic:spPr>
                </pic:pic>
              </a:graphicData>
            </a:graphic>
          </wp:inline>
        </w:drawing>
      </w:r>
    </w:p>
    <w:p w14:paraId="12C22D5E" w14:textId="77777777" w:rsidR="00FD0189" w:rsidRDefault="00000000">
      <w:pPr>
        <w:pStyle w:val="BodyText"/>
      </w:pPr>
      <w:r>
        <w:t xml:space="preserve">As I mentioned in </w:t>
      </w:r>
      <w:hyperlink w:anchor="sec-why-sex">
        <w:r>
          <w:rPr>
            <w:rStyle w:val="Hyperlink"/>
          </w:rPr>
          <w:t>Chapter 1</w:t>
        </w:r>
      </w:hyperlink>
      <w:r>
        <w:t>, my dissertation focused on intertidal communities. I was especially interested in how two different barnacle morphs coexisted on rocky intertidal shores in the Northern Gulf of California. I had initially assumed that the two types were genetically determined and that they were likely to be different species (</w:t>
      </w:r>
      <w:hyperlink w:anchor="fig-3-2">
        <w:r>
          <w:rPr>
            <w:rStyle w:val="Hyperlink"/>
          </w:rPr>
          <w:t>Figure 3.1</w:t>
        </w:r>
      </w:hyperlink>
      <w:r>
        <w:t>). However, after years of false starts,</w:t>
      </w:r>
      <w:r>
        <w:rPr>
          <w:rStyle w:val="FootnoteReference"/>
        </w:rPr>
        <w:footnoteReference w:id="24"/>
      </w:r>
      <w:r>
        <w:t xml:space="preserve"> I found that one of the two morphs was induced by chemical cues released by a predatory snail (</w:t>
      </w:r>
      <w:hyperlink w:anchor="fig-3-3">
        <w:r>
          <w:rPr>
            <w:rStyle w:val="Hyperlink"/>
          </w:rPr>
          <w:t>Figure 3.2</w:t>
        </w:r>
      </w:hyperlink>
      <w:r>
        <w:t>) and that the induced morph was more resistant to attack by this predator (</w:t>
      </w:r>
      <w:hyperlink w:anchor="ref-lively1986c">
        <w:r>
          <w:rPr>
            <w:rStyle w:val="Hyperlink"/>
          </w:rPr>
          <w:t>Lively 1986c</w:t>
        </w:r>
      </w:hyperlink>
      <w:r>
        <w:t>).</w:t>
      </w:r>
      <w:r>
        <w:rPr>
          <w:rStyle w:val="FootnoteReference"/>
        </w:rPr>
        <w:footnoteReference w:id="25"/>
      </w:r>
      <w:r>
        <w:t xml:space="preserve"> Hence, the two morphs are not different species, but rather the result of phenotypic plasticity. In a blink of a field season, I went from being a community ecologist to an evolutionary biologist.</w:t>
      </w:r>
    </w:p>
    <w:p w14:paraId="3E53397A" w14:textId="77777777" w:rsidR="00FD0189" w:rsidRDefault="00000000">
      <w:pPr>
        <w:pStyle w:val="BodyText"/>
      </w:pPr>
      <w:r>
        <w:t>But why two morphs? Why didn’t selection favor unconditional development of the predator-resistant morph? Using predator-exclusion cages, I found that predation was concentrated near crevices in the reef, which the snails used during high tide as refuges (</w:t>
      </w:r>
      <w:hyperlink w:anchor="ref-lively1986b">
        <w:r>
          <w:rPr>
            <w:rStyle w:val="Hyperlink"/>
          </w:rPr>
          <w:t>Lively 1986b</w:t>
        </w:r>
      </w:hyperlink>
      <w:r>
        <w:t xml:space="preserve">). As the tide receded, the snails moved out from these crevices onto the exposed rock surfaces to forage on barnacles. When the tide returned, the snails motored back to the crevices, presumably to hide from snail-crushing rays that came in with the tide. This back-and-forth movement of snails </w:t>
      </w:r>
      <w:r>
        <w:lastRenderedPageBreak/>
        <w:t>created high-predation zones near crevices and low-predation zones far from crevices (about 20cm away). This finding explained why the predation-resistant morph was almost always found near crevices. Field experiments also showed that the predator-resistant morph grew more slowly and was less fecund than the typical volcano-shaped morph (</w:t>
      </w:r>
      <w:hyperlink w:anchor="ref-lively1986b">
        <w:r>
          <w:rPr>
            <w:rStyle w:val="Hyperlink"/>
          </w:rPr>
          <w:t>Lively 1986b</w:t>
        </w:r>
      </w:hyperlink>
      <w:r>
        <w:t>). Hence there is a trade-off. Taken together, the results suggested that plastic development was favored by natural selection to survive in the high-predation zones (</w:t>
      </w:r>
      <w:hyperlink w:anchor="sec-app-3">
        <w:r>
          <w:rPr>
            <w:rStyle w:val="Hyperlink"/>
          </w:rPr>
          <w:t>Section 3.4</w:t>
        </w:r>
      </w:hyperlink>
      <w:r>
        <w:t>). I would later come to think of adaptive plasticity as a type of variation strategy. Sexual reproduction can also be seen as a type of variation strategy (</w:t>
      </w:r>
      <w:hyperlink w:anchor="ref-lloyd1984a">
        <w:r>
          <w:rPr>
            <w:rStyle w:val="Hyperlink"/>
          </w:rPr>
          <w:t>Lloyd 1984</w:t>
        </w:r>
      </w:hyperlink>
      <w:r>
        <w:t>). And I was very fortunate to be able to study sexual reproduction after moving to New Zealand.</w:t>
      </w:r>
    </w:p>
    <w:tbl>
      <w:tblPr>
        <w:tblStyle w:val="Table"/>
        <w:tblW w:w="5000" w:type="pct"/>
        <w:tblLayout w:type="fixed"/>
        <w:tblLook w:val="0000" w:firstRow="0" w:lastRow="0" w:firstColumn="0" w:lastColumn="0" w:noHBand="0" w:noVBand="0"/>
      </w:tblPr>
      <w:tblGrid>
        <w:gridCol w:w="9360"/>
      </w:tblGrid>
      <w:tr w:rsidR="00FD0189" w14:paraId="78A57691" w14:textId="77777777">
        <w:tc>
          <w:tcPr>
            <w:tcW w:w="7920" w:type="dxa"/>
          </w:tcPr>
          <w:p w14:paraId="19D0DE5B" w14:textId="77777777" w:rsidR="00FD0189" w:rsidRDefault="00000000">
            <w:pPr>
              <w:pStyle w:val="Compact"/>
              <w:jc w:val="center"/>
            </w:pPr>
            <w:bookmarkStart w:id="61" w:name="fig-3-2"/>
            <w:r>
              <w:rPr>
                <w:noProof/>
              </w:rPr>
              <w:drawing>
                <wp:inline distT="0" distB="0" distL="0" distR="0" wp14:anchorId="634773B9" wp14:editId="1B567B3C">
                  <wp:extent cx="1783080" cy="2307515"/>
                  <wp:effectExtent l="0" t="0" r="0" b="0"/>
                  <wp:docPr id="134" name="Picture" descr="Drawings of the two shell morphs of the intertidal barnacle, Chthamalus anisopoma."/>
                  <wp:cNvGraphicFramePr/>
                  <a:graphic xmlns:a="http://schemas.openxmlformats.org/drawingml/2006/main">
                    <a:graphicData uri="http://schemas.openxmlformats.org/drawingml/2006/picture">
                      <pic:pic xmlns:pic="http://schemas.openxmlformats.org/drawingml/2006/picture">
                        <pic:nvPicPr>
                          <pic:cNvPr id="134" name="Picture" descr="Drawings of the two shell morphs of the intertidal barnacle, Chthamalus anisopoma."/>
                          <pic:cNvPicPr>
                            <a:picLocks noChangeAspect="1" noChangeArrowheads="1"/>
                          </pic:cNvPicPr>
                        </pic:nvPicPr>
                        <pic:blipFill>
                          <a:blip r:embed="rId44"/>
                          <a:stretch>
                            <a:fillRect/>
                          </a:stretch>
                        </pic:blipFill>
                        <pic:spPr bwMode="auto">
                          <a:xfrm>
                            <a:off x="0" y="0"/>
                            <a:ext cx="1783080" cy="2307515"/>
                          </a:xfrm>
                          <a:prstGeom prst="rect">
                            <a:avLst/>
                          </a:prstGeom>
                          <a:noFill/>
                          <a:ln w="9525">
                            <a:noFill/>
                            <a:headEnd/>
                            <a:tailEnd/>
                          </a:ln>
                        </pic:spPr>
                      </pic:pic>
                    </a:graphicData>
                  </a:graphic>
                </wp:inline>
              </w:drawing>
            </w:r>
          </w:p>
          <w:p w14:paraId="7CEF0526" w14:textId="77777777" w:rsidR="00FD0189" w:rsidRDefault="00000000">
            <w:pPr>
              <w:pStyle w:val="ImageCaption"/>
              <w:spacing w:before="200"/>
            </w:pPr>
            <w:r>
              <w:t xml:space="preserve">Figure 3.1: The two morphs of the intertidal barnacle, </w:t>
            </w:r>
            <w:proofErr w:type="spellStart"/>
            <w:r>
              <w:rPr>
                <w:i/>
                <w:iCs/>
              </w:rPr>
              <w:t>Chthamalus</w:t>
            </w:r>
            <w:proofErr w:type="spellEnd"/>
            <w:r>
              <w:rPr>
                <w:i/>
                <w:iCs/>
              </w:rPr>
              <w:t xml:space="preserve"> </w:t>
            </w:r>
            <w:proofErr w:type="spellStart"/>
            <w:r>
              <w:rPr>
                <w:i/>
                <w:iCs/>
              </w:rPr>
              <w:t>anisopoma</w:t>
            </w:r>
            <w:proofErr w:type="spellEnd"/>
            <w:r>
              <w:t xml:space="preserve">. </w:t>
            </w:r>
            <w:r>
              <w:rPr>
                <w:b/>
                <w:bCs/>
              </w:rPr>
              <w:t>Top</w:t>
            </w:r>
            <w:r>
              <w:t xml:space="preserve">, the “bent” form is induced by exposure to chemical cues released by a specialized barnacle predator, the predatory gastropod </w:t>
            </w:r>
            <w:proofErr w:type="spellStart"/>
            <w:r>
              <w:rPr>
                <w:i/>
                <w:iCs/>
              </w:rPr>
              <w:t>Acanthina</w:t>
            </w:r>
            <w:proofErr w:type="spellEnd"/>
            <w:r>
              <w:rPr>
                <w:i/>
                <w:iCs/>
              </w:rPr>
              <w:t xml:space="preserve"> angelica</w:t>
            </w:r>
            <w:r>
              <w:t xml:space="preserve">. The bent or “hooded” form reduces the risk of successful attack by this predator. </w:t>
            </w:r>
            <w:r>
              <w:rPr>
                <w:b/>
                <w:bCs/>
              </w:rPr>
              <w:t>Bottom</w:t>
            </w:r>
            <w:r>
              <w:t>, the typical, conic form of the barnacle. The conic form is more fecund per unit size, and it grows more rapidly than the bent form, but it is also more susceptible to attack by the predator. Drawing by ZMD.</w:t>
            </w:r>
          </w:p>
        </w:tc>
        <w:bookmarkEnd w:id="61"/>
      </w:tr>
    </w:tbl>
    <w:p w14:paraId="7EC28AF0" w14:textId="77777777" w:rsidR="00FD0189" w:rsidRDefault="00000000">
      <w:pPr>
        <w:pStyle w:val="BodyText"/>
      </w:pPr>
      <w:r>
        <w:t xml:space="preserve"> </w:t>
      </w:r>
    </w:p>
    <w:tbl>
      <w:tblPr>
        <w:tblStyle w:val="Table"/>
        <w:tblW w:w="5000" w:type="pct"/>
        <w:tblLayout w:type="fixed"/>
        <w:tblLook w:val="0000" w:firstRow="0" w:lastRow="0" w:firstColumn="0" w:lastColumn="0" w:noHBand="0" w:noVBand="0"/>
      </w:tblPr>
      <w:tblGrid>
        <w:gridCol w:w="9360"/>
      </w:tblGrid>
      <w:tr w:rsidR="00FD0189" w14:paraId="6DB4040A" w14:textId="77777777">
        <w:tc>
          <w:tcPr>
            <w:tcW w:w="7920" w:type="dxa"/>
          </w:tcPr>
          <w:p w14:paraId="0859198B" w14:textId="77777777" w:rsidR="00FD0189" w:rsidRDefault="00000000">
            <w:pPr>
              <w:pStyle w:val="Compact"/>
              <w:jc w:val="center"/>
            </w:pPr>
            <w:bookmarkStart w:id="62" w:name="fig-3-3"/>
            <w:r>
              <w:rPr>
                <w:noProof/>
              </w:rPr>
              <w:drawing>
                <wp:inline distT="0" distB="0" distL="0" distR="0" wp14:anchorId="01223311" wp14:editId="39688F5E">
                  <wp:extent cx="1783080" cy="1993287"/>
                  <wp:effectExtent l="0" t="0" r="0" b="0"/>
                  <wp:docPr id="138" name="Picture" descr="Drawing of the predatory snail, Acanthina angelica, attacking the bent form of the barnacle."/>
                  <wp:cNvGraphicFramePr/>
                  <a:graphic xmlns:a="http://schemas.openxmlformats.org/drawingml/2006/main">
                    <a:graphicData uri="http://schemas.openxmlformats.org/drawingml/2006/picture">
                      <pic:pic xmlns:pic="http://schemas.openxmlformats.org/drawingml/2006/picture">
                        <pic:nvPicPr>
                          <pic:cNvPr id="138" name="Picture" descr="Drawing of the predatory snail, Acanthina angelica, attacking the bent form of the barnacle."/>
                          <pic:cNvPicPr>
                            <a:picLocks noChangeAspect="1" noChangeArrowheads="1"/>
                          </pic:cNvPicPr>
                        </pic:nvPicPr>
                        <pic:blipFill>
                          <a:blip r:embed="rId45"/>
                          <a:stretch>
                            <a:fillRect/>
                          </a:stretch>
                        </pic:blipFill>
                        <pic:spPr bwMode="auto">
                          <a:xfrm>
                            <a:off x="0" y="0"/>
                            <a:ext cx="1783080" cy="1993287"/>
                          </a:xfrm>
                          <a:prstGeom prst="rect">
                            <a:avLst/>
                          </a:prstGeom>
                          <a:noFill/>
                          <a:ln w="9525">
                            <a:noFill/>
                            <a:headEnd/>
                            <a:tailEnd/>
                          </a:ln>
                        </pic:spPr>
                      </pic:pic>
                    </a:graphicData>
                  </a:graphic>
                </wp:inline>
              </w:drawing>
            </w:r>
          </w:p>
          <w:p w14:paraId="5D35A2D1" w14:textId="77777777" w:rsidR="00FD0189" w:rsidRDefault="00000000">
            <w:pPr>
              <w:pStyle w:val="ImageCaption"/>
              <w:spacing w:before="200"/>
            </w:pPr>
            <w:r>
              <w:lastRenderedPageBreak/>
              <w:t xml:space="preserve">Figure 3.2: Line drawing of the predatory snail </w:t>
            </w:r>
            <w:proofErr w:type="spellStart"/>
            <w:r>
              <w:rPr>
                <w:i/>
                <w:iCs/>
              </w:rPr>
              <w:t>Acanthina</w:t>
            </w:r>
            <w:proofErr w:type="spellEnd"/>
            <w:r>
              <w:rPr>
                <w:i/>
                <w:iCs/>
              </w:rPr>
              <w:t xml:space="preserve"> angelica</w:t>
            </w:r>
            <w:r>
              <w:t xml:space="preserve"> attacking the bent form of the barnacle. Note that the predator has a spine on the outer margin of its shell. The spine is used to push through the opercular plates of barnacles, and it is very effective at penetrating and consuming the volcano-shaped form of the barnacle. The bent form of the barnacle is more resistant to attack of this kind because its aperture is less open to attack from above. Drawing by ZMD.</w:t>
            </w:r>
          </w:p>
        </w:tc>
        <w:bookmarkEnd w:id="62"/>
      </w:tr>
    </w:tbl>
    <w:p w14:paraId="2E0BE4DA" w14:textId="77777777" w:rsidR="00FD0189" w:rsidRDefault="00000000">
      <w:pPr>
        <w:pStyle w:val="BodyText"/>
      </w:pPr>
      <w:r>
        <w:lastRenderedPageBreak/>
        <w:t>I moved to New Zealand in 1984 just after defending my dissertation. My reason for moving to New Zealand was simple: my spouse (Lynda Delph) was there. Lynda had moved to New Zealand to study the evolution of plant breeding systems with Professor David Lloyd. I did not have a job, but Lynda had a small stipend from the Fulbright Foundation. By the time I moved to New Zealand, we had only 12 dollars. But Lynda had found a flat in a dormitory at the University of Canterbury, where she worked as a “tutor.” Tutors at the time were usually graduate students who served as mentors for the resident students. We made many good friends during our time as tutors, and it was a fascinating total immersion into Kiwi culture. We did not have to pay rent, and we could eat for free in the cafeteria. We could then spend Lynda’s small Fulbright stipend on sampling trips.</w:t>
      </w:r>
    </w:p>
    <w:p w14:paraId="1957445B" w14:textId="77777777" w:rsidR="00FD0189" w:rsidRDefault="00000000">
      <w:pPr>
        <w:pStyle w:val="BodyText"/>
      </w:pPr>
      <w:r>
        <w:t>Then I got very lucky. I was awarded a three-year postdoctoral fellowship from the New Zealand University Grants Committee. I had applied to work on the evolution of facultatively parthenogenetic nematodes, which represented a combination of my interests in developmental plasticity and sex.</w:t>
      </w:r>
      <w:r>
        <w:rPr>
          <w:rStyle w:val="FootnoteReference"/>
        </w:rPr>
        <w:footnoteReference w:id="26"/>
      </w:r>
      <w:r>
        <w:t xml:space="preserve"> These topics were also very interesting to Wally Clark, a conceptual pioneer in the evolution of plasticity. He was also head of the Zoology Department at the University of Canterbury. I would not have received funding without the support of Professor Clark. To my mind, the value of Clark’s work remains underestimated in general, but it had a big influence on me (e.g., </w:t>
      </w:r>
      <w:hyperlink w:anchor="ref-clark1976a">
        <w:r>
          <w:rPr>
            <w:rStyle w:val="Hyperlink"/>
          </w:rPr>
          <w:t>Clark 1976</w:t>
        </w:r>
      </w:hyperlink>
      <w:r>
        <w:t>).</w:t>
      </w:r>
    </w:p>
    <w:p w14:paraId="43E623A3" w14:textId="77777777" w:rsidR="00FD0189" w:rsidRDefault="00000000">
      <w:pPr>
        <w:pStyle w:val="BodyText"/>
      </w:pPr>
      <w:r>
        <w:t>I began looking for natural systems to study facultative parthenogenesis.</w:t>
      </w:r>
      <w:r>
        <w:rPr>
          <w:rStyle w:val="FootnoteReference"/>
        </w:rPr>
        <w:footnoteReference w:id="27"/>
      </w:r>
      <w:r>
        <w:t xml:space="preserve"> To this end, I was reading Graham Bell’s (</w:t>
      </w:r>
      <w:hyperlink w:anchor="ref-bell1982a">
        <w:r>
          <w:rPr>
            <w:rStyle w:val="Hyperlink"/>
          </w:rPr>
          <w:t>1982</w:t>
        </w:r>
      </w:hyperlink>
      <w:r>
        <w:t xml:space="preserve">) incredible book on the evolution and genetics of sexual reproduction. Searching the index, I found a reference to </w:t>
      </w:r>
      <w:proofErr w:type="spellStart"/>
      <w:r>
        <w:rPr>
          <w:i/>
          <w:iCs/>
        </w:rPr>
        <w:t>Potamopyrgus</w:t>
      </w:r>
      <w:proofErr w:type="spellEnd"/>
      <w:r>
        <w:rPr>
          <w:i/>
          <w:iCs/>
        </w:rPr>
        <w:t xml:space="preserve"> </w:t>
      </w:r>
      <w:proofErr w:type="spellStart"/>
      <w:r>
        <w:rPr>
          <w:i/>
          <w:iCs/>
        </w:rPr>
        <w:t>antipodarum</w:t>
      </w:r>
      <w:proofErr w:type="spellEnd"/>
      <w:r>
        <w:t xml:space="preserve">, a New Zealand freshwater snail. Bell had cited Mike </w:t>
      </w:r>
      <w:proofErr w:type="spellStart"/>
      <w:r>
        <w:t>Winterbourn’s</w:t>
      </w:r>
      <w:proofErr w:type="spellEnd"/>
      <w:r>
        <w:t xml:space="preserve"> (</w:t>
      </w:r>
      <w:hyperlink w:anchor="ref-winterbourn1970a">
        <w:r>
          <w:rPr>
            <w:rStyle w:val="Hyperlink"/>
          </w:rPr>
          <w:t>1970</w:t>
        </w:r>
      </w:hyperlink>
      <w:r>
        <w:t xml:space="preserve">) dissertation work on this snail. Luckily for me, Professor </w:t>
      </w:r>
      <w:proofErr w:type="spellStart"/>
      <w:r>
        <w:t>Winterbourn</w:t>
      </w:r>
      <w:proofErr w:type="spellEnd"/>
      <w:r>
        <w:t xml:space="preserve"> was just down the hall from me. I took the book to him, and I asked if the snails were, in fact, facultatively parthenogenetic. He said no; the snails were probably obligate </w:t>
      </w:r>
      <w:proofErr w:type="spellStart"/>
      <w:r>
        <w:t>asexuals</w:t>
      </w:r>
      <w:proofErr w:type="spellEnd"/>
      <w:r>
        <w:t xml:space="preserve">, based on lab rearing experiments that he had done. He also said that most populations were all female, but some contained males. He then added that there was </w:t>
      </w:r>
      <w:r>
        <w:lastRenderedPageBreak/>
        <w:t>no obvious pattern to the distribution of males. Amazing! I immediately decided to work on these snails.</w:t>
      </w:r>
      <w:r>
        <w:rPr>
          <w:rStyle w:val="FootnoteReference"/>
        </w:rPr>
        <w:footnoteReference w:id="28"/>
      </w:r>
    </w:p>
    <w:p w14:paraId="6EF1F01D" w14:textId="77777777" w:rsidR="00FD0189" w:rsidRDefault="00000000">
      <w:pPr>
        <w:pStyle w:val="Heading2"/>
      </w:pPr>
      <w:bookmarkStart w:id="63" w:name="X86dea74b372ae709d9eb17f545c4f40dd620f0a"/>
      <w:bookmarkStart w:id="64" w:name="_Toc159248500"/>
      <w:r>
        <w:t>3.1 The Method of Multiple Working Hypotheses</w:t>
      </w:r>
      <w:bookmarkEnd w:id="64"/>
    </w:p>
    <w:p w14:paraId="529588D0" w14:textId="77777777" w:rsidR="00FD0189" w:rsidRDefault="00000000">
      <w:pPr>
        <w:pStyle w:val="FirstParagraph"/>
      </w:pPr>
      <w:r>
        <w:t>As graduate students at the University of Arizona, we read some of the classics in the history and philosophy of science. Two of these papers concerned the method of contrasting multiple working hypotheses (</w:t>
      </w:r>
      <w:hyperlink w:anchor="ref-chamberlin1890a">
        <w:r>
          <w:rPr>
            <w:rStyle w:val="Hyperlink"/>
          </w:rPr>
          <w:t>Chamberlin 1890</w:t>
        </w:r>
      </w:hyperlink>
      <w:r>
        <w:t xml:space="preserve">; </w:t>
      </w:r>
      <w:hyperlink w:anchor="ref-platt1964a">
        <w:r>
          <w:rPr>
            <w:rStyle w:val="Hyperlink"/>
          </w:rPr>
          <w:t>Platt 1964</w:t>
        </w:r>
      </w:hyperlink>
      <w:r>
        <w:t>).</w:t>
      </w:r>
      <w:r>
        <w:rPr>
          <w:rStyle w:val="FootnoteReference"/>
        </w:rPr>
        <w:footnoteReference w:id="29"/>
      </w:r>
      <w:r>
        <w:t xml:space="preserve"> The idea is that multiple hypotheses should be simultaneously considered. Then, to the extent possible, the alternatives are forced to make different </w:t>
      </w:r>
      <w:r>
        <w:rPr>
          <w:i/>
          <w:iCs/>
        </w:rPr>
        <w:t>a priori</w:t>
      </w:r>
      <w:r>
        <w:t xml:space="preserve"> predictions about the possible results. The hope is that all but one of the alternative hypotheses would be eliminated, leading to a “strong inference” that the remaining hypothesis is supported (</w:t>
      </w:r>
      <w:hyperlink w:anchor="ref-platt1964a">
        <w:r>
          <w:rPr>
            <w:rStyle w:val="Hyperlink"/>
          </w:rPr>
          <w:t>Platt 1964</w:t>
        </w:r>
      </w:hyperlink>
      <w:r>
        <w:t>). Thus, the focus is on falsifying one or more of the alternatives, rather than proving one of them (</w:t>
      </w:r>
      <w:hyperlink w:anchor="ref-popper1959a">
        <w:r>
          <w:rPr>
            <w:rStyle w:val="Hyperlink"/>
          </w:rPr>
          <w:t>Popper 1959</w:t>
        </w:r>
      </w:hyperlink>
      <w:r>
        <w:t>). Graham Bell used this same method to contrast the ecological models for sex by using data on the geographic distribution of asexual individuals across many plant and animal taxa (</w:t>
      </w:r>
      <w:hyperlink w:anchor="ref-bell1982a">
        <w:r>
          <w:rPr>
            <w:rStyle w:val="Hyperlink"/>
          </w:rPr>
          <w:t>Bell 1982</w:t>
        </w:r>
      </w:hyperlink>
      <w:r>
        <w:t>). The data led him to reject the Lottery Model (</w:t>
      </w:r>
      <w:hyperlink w:anchor="sec-eco-hyp">
        <w:r>
          <w:rPr>
            <w:rStyle w:val="Hyperlink"/>
          </w:rPr>
          <w:t>Chapter 2</w:t>
        </w:r>
      </w:hyperlink>
      <w:r>
        <w:t>). I decided to focus a similar test directly on the New Zealand snails (</w:t>
      </w:r>
      <w:hyperlink w:anchor="fig-3-4">
        <w:r>
          <w:rPr>
            <w:rStyle w:val="Hyperlink"/>
          </w:rPr>
          <w:t>Figure 3.3</w:t>
        </w:r>
      </w:hyperlink>
      <w:r>
        <w:t>).</w:t>
      </w:r>
    </w:p>
    <w:tbl>
      <w:tblPr>
        <w:tblStyle w:val="Table"/>
        <w:tblW w:w="5000" w:type="pct"/>
        <w:tblLayout w:type="fixed"/>
        <w:tblLook w:val="0000" w:firstRow="0" w:lastRow="0" w:firstColumn="0" w:lastColumn="0" w:noHBand="0" w:noVBand="0"/>
      </w:tblPr>
      <w:tblGrid>
        <w:gridCol w:w="9360"/>
      </w:tblGrid>
      <w:tr w:rsidR="00FD0189" w14:paraId="58FFDF7E" w14:textId="77777777">
        <w:tc>
          <w:tcPr>
            <w:tcW w:w="7920" w:type="dxa"/>
          </w:tcPr>
          <w:p w14:paraId="4DAE6C34" w14:textId="77777777" w:rsidR="00FD0189" w:rsidRDefault="00000000">
            <w:pPr>
              <w:pStyle w:val="Compact"/>
              <w:jc w:val="center"/>
            </w:pPr>
            <w:bookmarkStart w:id="65" w:name="fig-3-4"/>
            <w:r>
              <w:rPr>
                <w:noProof/>
              </w:rPr>
              <w:drawing>
                <wp:inline distT="0" distB="0" distL="0" distR="0" wp14:anchorId="631D8B41" wp14:editId="301A5DA3">
                  <wp:extent cx="3566160" cy="2379297"/>
                  <wp:effectExtent l="0" t="0" r="0" b="0"/>
                  <wp:docPr id="146" name="Picture" descr="Photo of the freshwater New Zealand snail, Potamopyrgus antipodarum."/>
                  <wp:cNvGraphicFramePr/>
                  <a:graphic xmlns:a="http://schemas.openxmlformats.org/drawingml/2006/main">
                    <a:graphicData uri="http://schemas.openxmlformats.org/drawingml/2006/picture">
                      <pic:pic xmlns:pic="http://schemas.openxmlformats.org/drawingml/2006/picture">
                        <pic:nvPicPr>
                          <pic:cNvPr id="146" name="Picture" descr="Photo of the freshwater New Zealand snail, Potamopyrgus antipodarum."/>
                          <pic:cNvPicPr>
                            <a:picLocks noChangeAspect="1" noChangeArrowheads="1"/>
                          </pic:cNvPicPr>
                        </pic:nvPicPr>
                        <pic:blipFill>
                          <a:blip r:embed="rId46"/>
                          <a:stretch>
                            <a:fillRect/>
                          </a:stretch>
                        </pic:blipFill>
                        <pic:spPr bwMode="auto">
                          <a:xfrm>
                            <a:off x="0" y="0"/>
                            <a:ext cx="3566160" cy="2379297"/>
                          </a:xfrm>
                          <a:prstGeom prst="rect">
                            <a:avLst/>
                          </a:prstGeom>
                          <a:noFill/>
                          <a:ln w="9525">
                            <a:noFill/>
                            <a:headEnd/>
                            <a:tailEnd/>
                          </a:ln>
                        </pic:spPr>
                      </pic:pic>
                    </a:graphicData>
                  </a:graphic>
                </wp:inline>
              </w:drawing>
            </w:r>
          </w:p>
          <w:p w14:paraId="3779DC29" w14:textId="77777777" w:rsidR="00FD0189" w:rsidRDefault="00000000">
            <w:pPr>
              <w:pStyle w:val="ImageCaption"/>
              <w:spacing w:before="200"/>
            </w:pPr>
            <w:r>
              <w:t xml:space="preserve">Figure 3.3: </w:t>
            </w:r>
            <w:r>
              <w:rPr>
                <w:b/>
                <w:bCs/>
              </w:rPr>
              <w:t xml:space="preserve">Photo credit: © </w:t>
            </w:r>
            <w:hyperlink r:id="rId47">
              <w:r>
                <w:rPr>
                  <w:rStyle w:val="Hyperlink"/>
                  <w:b/>
                  <w:bCs/>
                </w:rPr>
                <w:t xml:space="preserve">Bart </w:t>
              </w:r>
              <w:proofErr w:type="spellStart"/>
              <w:r>
                <w:rPr>
                  <w:rStyle w:val="Hyperlink"/>
                  <w:b/>
                  <w:bCs/>
                </w:rPr>
                <w:t>Zijlstra</w:t>
              </w:r>
              <w:proofErr w:type="spellEnd"/>
            </w:hyperlink>
            <w:r>
              <w:rPr>
                <w:b/>
                <w:bCs/>
              </w:rPr>
              <w:t>. Used by permission.</w:t>
            </w:r>
            <w:r>
              <w:t xml:space="preserve"> The freshwater snail </w:t>
            </w:r>
            <w:proofErr w:type="spellStart"/>
            <w:r>
              <w:rPr>
                <w:i/>
                <w:iCs/>
              </w:rPr>
              <w:t>Potamopyrgus</w:t>
            </w:r>
            <w:proofErr w:type="spellEnd"/>
            <w:r>
              <w:rPr>
                <w:i/>
                <w:iCs/>
              </w:rPr>
              <w:t xml:space="preserve"> </w:t>
            </w:r>
            <w:proofErr w:type="spellStart"/>
            <w:r>
              <w:rPr>
                <w:i/>
                <w:iCs/>
              </w:rPr>
              <w:t>antipodarum</w:t>
            </w:r>
            <w:proofErr w:type="spellEnd"/>
            <w:r>
              <w:t>. This small (3–6 mm) prosobranch snail evolved from marine ancestors (</w:t>
            </w:r>
            <w:hyperlink w:anchor="ref-phillips1990a">
              <w:r>
                <w:rPr>
                  <w:rStyle w:val="Hyperlink"/>
                </w:rPr>
                <w:t>Phillips &amp; Lambert 1990</w:t>
              </w:r>
            </w:hyperlink>
            <w:r>
              <w:t>). Associated with the invasion of freshwater, the snail evolved an internal brood pouch, where the embryos hatch and develop before crawling out as juveniles. The snail also evolved parthenogenetic reproduction. Parthenogenesis and brooding are both rare traits in invertebrates, but they are often found together (</w:t>
            </w:r>
            <w:hyperlink w:anchor="ref-lively1994b">
              <w:r>
                <w:rPr>
                  <w:rStyle w:val="Hyperlink"/>
                </w:rPr>
                <w:t>Lively &amp; Johnson 1994</w:t>
              </w:r>
            </w:hyperlink>
            <w:r>
              <w:t xml:space="preserve">). </w:t>
            </w:r>
            <w:r>
              <w:lastRenderedPageBreak/>
              <w:t xml:space="preserve">Some </w:t>
            </w:r>
            <w:r>
              <w:rPr>
                <w:i/>
                <w:iCs/>
              </w:rPr>
              <w:t xml:space="preserve">P. </w:t>
            </w:r>
            <w:proofErr w:type="spellStart"/>
            <w:r>
              <w:rPr>
                <w:i/>
                <w:iCs/>
              </w:rPr>
              <w:t>antipodarum</w:t>
            </w:r>
            <w:proofErr w:type="spellEnd"/>
            <w:r>
              <w:t xml:space="preserve"> populations presently consist of a mixture of diploid sexual individuals and polyploid asexual females. The question under consideration here is, why have the sexual females persisted in these mixed population snails? What are the advantages of sexual reproduction?</w:t>
            </w:r>
          </w:p>
        </w:tc>
        <w:bookmarkEnd w:id="65"/>
      </w:tr>
    </w:tbl>
    <w:p w14:paraId="6B2DD35E" w14:textId="77777777" w:rsidR="00FD0189" w:rsidRDefault="00000000">
      <w:pPr>
        <w:pStyle w:val="BodyText"/>
      </w:pPr>
      <w:r>
        <w:lastRenderedPageBreak/>
        <w:t>The snails (</w:t>
      </w:r>
      <w:proofErr w:type="spellStart"/>
      <w:r>
        <w:rPr>
          <w:i/>
          <w:iCs/>
        </w:rPr>
        <w:t>Potamopyrgus</w:t>
      </w:r>
      <w:proofErr w:type="spellEnd"/>
      <w:r>
        <w:rPr>
          <w:i/>
          <w:iCs/>
        </w:rPr>
        <w:t xml:space="preserve"> </w:t>
      </w:r>
      <w:proofErr w:type="spellStart"/>
      <w:r>
        <w:rPr>
          <w:i/>
          <w:iCs/>
        </w:rPr>
        <w:t>antipodarum</w:t>
      </w:r>
      <w:proofErr w:type="spellEnd"/>
      <w:r>
        <w:t>) are often called mud snails, but I think the term is a misnomer. They live on rocks and vegetation in some of the most beautiful clear lakes, rivers, and streams in New Zealand (“</w:t>
      </w:r>
      <w:proofErr w:type="spellStart"/>
      <w:r>
        <w:t>Potamo</w:t>
      </w:r>
      <w:proofErr w:type="spellEnd"/>
      <w:r>
        <w:t xml:space="preserve">” means river, not mud, in Greek). In any case, based on </w:t>
      </w:r>
      <w:proofErr w:type="spellStart"/>
      <w:r>
        <w:t>Winterbourn’s</w:t>
      </w:r>
      <w:proofErr w:type="spellEnd"/>
      <w:r>
        <w:t xml:space="preserve"> ecological work, streams seemed more unstable than lakes, as water flow can vary dramatically, especially during heavy rains in the mountains (</w:t>
      </w:r>
      <w:proofErr w:type="spellStart"/>
      <w:r>
        <w:fldChar w:fldCharType="begin"/>
      </w:r>
      <w:r>
        <w:instrText>HYPERLINK \l "ref-winterbourn1981a" \h</w:instrText>
      </w:r>
      <w:r>
        <w:fldChar w:fldCharType="separate"/>
      </w:r>
      <w:r>
        <w:rPr>
          <w:rStyle w:val="Hyperlink"/>
        </w:rPr>
        <w:t>Winterbourn</w:t>
      </w:r>
      <w:proofErr w:type="spellEnd"/>
      <w:r>
        <w:rPr>
          <w:rStyle w:val="Hyperlink"/>
        </w:rPr>
        <w:t xml:space="preserve"> </w:t>
      </w:r>
      <w:r>
        <w:rPr>
          <w:rStyle w:val="Hyperlink"/>
          <w:i/>
          <w:iCs/>
        </w:rPr>
        <w:t>et al.</w:t>
      </w:r>
      <w:r>
        <w:rPr>
          <w:rStyle w:val="Hyperlink"/>
        </w:rPr>
        <w:t xml:space="preserve"> 1981</w:t>
      </w:r>
      <w:r>
        <w:rPr>
          <w:rStyle w:val="Hyperlink"/>
        </w:rPr>
        <w:fldChar w:fldCharType="end"/>
      </w:r>
      <w:r>
        <w:t xml:space="preserve">). Hence, under the Lottery Model, streams should have more sexual females (and males) than lakes, because streams have more disturbance and less competition (see </w:t>
      </w:r>
      <w:hyperlink w:anchor="sec-eco-hyp">
        <w:r>
          <w:rPr>
            <w:rStyle w:val="Hyperlink"/>
          </w:rPr>
          <w:t>Chapter 2</w:t>
        </w:r>
      </w:hyperlink>
      <w:r>
        <w:t xml:space="preserve"> for a comparison of models). By contrast, it seemed that competition for resources should be greater in lakes than in streams. Indeed, lake populations of the snail can be extremely dense. So, under the Tangled Bank, there should be more sexual females in lakes, where competition for resources is expected to be high. Finally, under the Red Queen Hypothesis, there should be more sexual females where the risk of infection by coevolving parasites is higher. As such, the different hypotheses could be forced to make different predictions, with the important caveat that infection might be correlated with habitat.</w:t>
      </w:r>
    </w:p>
    <w:p w14:paraId="58129AE2" w14:textId="77777777" w:rsidR="00FD0189" w:rsidRDefault="00000000">
      <w:pPr>
        <w:pStyle w:val="BodyText"/>
      </w:pPr>
      <w:r>
        <w:t>Some clarification regarding the prediction of the Red Queen Hypothesis might be useful here. Some people have asked me why the correlation between sex and infection is expected to be positive if, indeed, parasites are the selective force for sexual reproduction. For example, one could ask, if sex is so helpful in reducing infection risk, then shouldn’t the highly sexual populations have fewer, not more, parasites? That could, of course, be expected in an experiment where hosts across all populations were exposed to the same number of parasites. Then the more genetically diverse populations with higher frequencies of sexual females might be expected to have a lower prevalence of infection. But it is not the case that all natural populations have the same risk of infection. The idea under the Red Queen Hypothesis is that asexual females would replace sexual females where the risk of infection is low, and that sexual females would persist where the risk of infection is high, provided that the parasites are highly virulent. That is how the positive correlation could be generated. Nonetheless, the data could be expected to be very messy, especially if the frequency of sex oscillates over time in response to coevolutionary games with parasites.</w:t>
      </w:r>
    </w:p>
    <w:p w14:paraId="5CCCB2EE" w14:textId="77777777" w:rsidR="00FD0189" w:rsidRDefault="00000000">
      <w:pPr>
        <w:pStyle w:val="BodyText"/>
      </w:pPr>
      <w:r>
        <w:t xml:space="preserve">The snails are infected by trematode worms, but I did not know anything about trematodes when I first began dissecting snails. I was just looking for males. </w:t>
      </w:r>
      <w:proofErr w:type="spellStart"/>
      <w:r>
        <w:t>Winterbourn</w:t>
      </w:r>
      <w:proofErr w:type="spellEnd"/>
      <w:r>
        <w:t xml:space="preserve"> told me that I would know a male snail when I saw one, as they have a penis just behind the right tentacle. But I had not observed any such structure on the many snails I collected from the streams around the university. I was beginning to think that I was missing something. Then one day, when I was dissecting a snail, hundreds of swimming things came out. Sperm, I thought. My first male! I took them to Wally Clark’s research technician, Jan McKenzie, to put under her fancy microscope. She informed me that sperm do not have eyes, that they do not have spines on their tails, and that they are, in fact, orders of magnitude smaller than these wiggling beasts under her lens. She was not impressed. I had perfectly fit the Kiwi stereotype of North American ecologists: </w:t>
      </w:r>
      <w:r>
        <w:lastRenderedPageBreak/>
        <w:t xml:space="preserve">good with statistics but no knowledge of real animals. She informed me that these swimming things were trematode larvae, </w:t>
      </w:r>
      <w:r>
        <w:rPr>
          <w:b/>
          <w:bCs/>
        </w:rPr>
        <w:t>sterilizing parasites</w:t>
      </w:r>
      <w:r>
        <w:t xml:space="preserve"> of snails. Happily, we remained good friends, despite her disappointment in my training. And I had found my first infection, which meant that I might be able to test the Red Queen.</w:t>
      </w:r>
    </w:p>
    <w:p w14:paraId="33F944B4" w14:textId="77777777" w:rsidR="00FD0189" w:rsidRDefault="00000000">
      <w:pPr>
        <w:pStyle w:val="BodyText"/>
      </w:pPr>
      <w:r>
        <w:t>Perhaps embarrassingly, I had a scientific bias against the Red Queen going into the study. My bias was based on a study by May and Anderson (</w:t>
      </w:r>
      <w:hyperlink w:anchor="ref-may1983a">
        <w:r>
          <w:rPr>
            <w:rStyle w:val="Hyperlink"/>
          </w:rPr>
          <w:t>1983</w:t>
        </w:r>
      </w:hyperlink>
      <w:r>
        <w:t xml:space="preserve">). They showed in a theoretical paper that parasites had to kill infected individuals for sex to be favored over </w:t>
      </w:r>
      <w:proofErr w:type="spellStart"/>
      <w:r>
        <w:t>asex</w:t>
      </w:r>
      <w:proofErr w:type="spellEnd"/>
      <w:r>
        <w:t xml:space="preserve"> in hosts. Parasites are usually not that virulent; hence, it seemed to me that parasites could not provide sufficiently strong selection to </w:t>
      </w:r>
      <w:r>
        <w:rPr>
          <w:i/>
          <w:iCs/>
        </w:rPr>
        <w:t>generally</w:t>
      </w:r>
      <w:r>
        <w:t xml:space="preserve"> favor sex. I will return to this important paper in another chapter and discuss how key assumptions of their model have been relaxed.</w:t>
      </w:r>
    </w:p>
    <w:p w14:paraId="7CCD8AF9" w14:textId="77777777" w:rsidR="00FD0189" w:rsidRDefault="00000000">
      <w:pPr>
        <w:pStyle w:val="Heading3"/>
      </w:pPr>
      <w:bookmarkStart w:id="66" w:name="a-side-story-on-jms"/>
      <w:bookmarkStart w:id="67" w:name="_Toc159248501"/>
      <w:r>
        <w:t>3.1.1 A side story on JMS</w:t>
      </w:r>
      <w:bookmarkEnd w:id="67"/>
    </w:p>
    <w:p w14:paraId="74596DA3" w14:textId="77777777" w:rsidR="00FD0189" w:rsidRDefault="00000000">
      <w:pPr>
        <w:pStyle w:val="FirstParagraph"/>
      </w:pPr>
      <w:r>
        <w:t xml:space="preserve">John Maynard Smith (JMS) was one of the most influential theoretical biologists in the history of evolutionary thought. He was able to formulate and communicate novel ideas with apparent ease. Around the time that I was beginning to work on </w:t>
      </w:r>
      <w:proofErr w:type="spellStart"/>
      <w:r>
        <w:rPr>
          <w:i/>
          <w:iCs/>
        </w:rPr>
        <w:t>Potamopyrgus</w:t>
      </w:r>
      <w:proofErr w:type="spellEnd"/>
      <w:r>
        <w:t xml:space="preserve">, JMS came to New Zealand, along with his wife, Sheila. He was invited by David Lloyd to spend time at the University of Canterbury and to deliver three public lectures, which were all fantastic. During this time, JMS spent several weeks in New Zealand. Lynda, David, and I were lucky enough to hang out with him quite a bit. JMS was a remarkable individual. He could talk with anyone and show a sincere interest in their work. One morning, I was sitting next to JMS in the tearoom in the old Zoology Department. I was scared speechless. He kindly asked me what I was working on, so I told him about the snails. He knew of them! In fact, he had covered them in his book, </w:t>
      </w:r>
      <w:r>
        <w:rPr>
          <w:i/>
          <w:iCs/>
        </w:rPr>
        <w:t>The Evolution of Sex</w:t>
      </w:r>
      <w:r>
        <w:t>.</w:t>
      </w:r>
      <w:r>
        <w:rPr>
          <w:rStyle w:val="FootnoteReference"/>
        </w:rPr>
        <w:footnoteReference w:id="30"/>
      </w:r>
      <w:r>
        <w:t xml:space="preserve"> He was very excited that I was working on these creatures, and he wanted to know my plan. I told him of my rough ideas for looking at the distribution of males as a way of contrasting the ecological hypotheses for sex. He looked directly at me, and said, “Interesting, but I hope the answer is not parasites” (or something like that). I asked him, why not parasites? He laughed out loud, and with a big smile he said: “Because Bill Hamilton thought of it first!” I could tell he was kidding. He then encouraged me to take the project on, and then he laughed again and added, “Whatever you do, don’t </w:t>
      </w:r>
      <w:proofErr w:type="gramStart"/>
      <w:r>
        <w:t>go</w:t>
      </w:r>
      <w:proofErr w:type="gramEnd"/>
      <w:r>
        <w:t xml:space="preserve"> and solve the problem of sex. Sex is too much bloody fun to have an answer!”</w:t>
      </w:r>
    </w:p>
    <w:p w14:paraId="25CFF7BC" w14:textId="77777777" w:rsidR="00FD0189" w:rsidRDefault="00000000">
      <w:pPr>
        <w:pStyle w:val="BodyText"/>
      </w:pPr>
      <w:r>
        <w:t xml:space="preserve">Toward the end of their time in New Zealand, JMS, Sheila, David, Lynda, and I did a trip together around the South Island. The whole time was incredible. Just listening to David and John talk about evolutionary theory was a scientific dream. Towards the end of our trip, we were all together in a restaurant at the Hermitage (near Mt. Cook) on the night that JMS turned 65 and formally retired. Our server, a young alpinist working to support his climbing in the Southern Alps, asked JMS, “I think that I saw a documentary about you. Are you famous?” JMS (smiling and intrigued) asked the alpinist what he remembered. Without hesitation, the alpinist recited a perfect overview of evolution by natural selection. JMS was clearly touched. Almost </w:t>
      </w:r>
      <w:r>
        <w:lastRenderedPageBreak/>
        <w:t>exactly half-way around the world from Sussex England, in a small township in New Zealand, JMS met someone whom he had influenced with his work. And this was on the very night of his retirement.</w:t>
      </w:r>
    </w:p>
    <w:p w14:paraId="365FA1F7" w14:textId="77777777" w:rsidR="00FD0189" w:rsidRDefault="00000000">
      <w:pPr>
        <w:pStyle w:val="BodyText"/>
      </w:pPr>
      <w:r>
        <w:t xml:space="preserve">The next day, we drove to a small lake near Mt. Cook that David knew about: Lake Alexandrina. It was a glorious day, and we decided that we might as well collect some snails. JMS waded into the water and proceeded to collect a handful of </w:t>
      </w:r>
      <w:proofErr w:type="spellStart"/>
      <w:r>
        <w:rPr>
          <w:i/>
          <w:iCs/>
        </w:rPr>
        <w:t>Potamopyrgus</w:t>
      </w:r>
      <w:proofErr w:type="spellEnd"/>
      <w:r>
        <w:t xml:space="preserve"> from the shallow rocks. He handed the snails to me. He then laughed and said, “When you publish your study, I want to know the outcome for these exact snails.” As it turned out, Lake Alexandrina has a mixed population of sexual and asexual snails, and it has been the primary focus of our long-term studies on </w:t>
      </w:r>
      <w:proofErr w:type="spellStart"/>
      <w:r>
        <w:rPr>
          <w:i/>
          <w:iCs/>
        </w:rPr>
        <w:t>Potamopyrgus</w:t>
      </w:r>
      <w:proofErr w:type="spellEnd"/>
      <w:r>
        <w:t>. The snail team still refers to this original site of collection as “JMS.” Interestingly, JMS is one of the most dynamic sites in the whole lake.</w:t>
      </w:r>
    </w:p>
    <w:p w14:paraId="0DD56331" w14:textId="77777777" w:rsidR="00FD0189" w:rsidRDefault="00000000">
      <w:pPr>
        <w:pStyle w:val="Heading2"/>
      </w:pPr>
      <w:bookmarkStart w:id="68" w:name="the-distribution-of-male-snails"/>
      <w:bookmarkStart w:id="69" w:name="_Toc159248502"/>
      <w:bookmarkEnd w:id="63"/>
      <w:bookmarkEnd w:id="66"/>
      <w:r>
        <w:t>3.2 The Distribution of Male Snails</w:t>
      </w:r>
      <w:bookmarkEnd w:id="69"/>
    </w:p>
    <w:p w14:paraId="4E4AF5D6" w14:textId="77777777" w:rsidR="00FD0189" w:rsidRDefault="00000000">
      <w:pPr>
        <w:pStyle w:val="FirstParagraph"/>
      </w:pPr>
      <w:r>
        <w:t>To contrast the alternative ecological hypotheses, I sampled snails from lakes and streams across the South Island of New Zealand. I could drive Lynda’s Volkswagen bug to most of the lakes, but I had to backpack into many. Unfortunately, my time working in the Sonoran Desert had not prepared me for the steep climbs, heavy rains, and chest-deep river crossings on the South Island. I did not take enough food or dry clothes on one trip, and my desert hiking boots disintegrated. I got my butt kicked. But it was wonderful to have an excuse to see remote parts of the South Island, especially after I got better gear and gained a better understanding of the New Zealand bush.</w:t>
      </w:r>
    </w:p>
    <w:p w14:paraId="2CC604EF" w14:textId="77777777" w:rsidR="00FD0189" w:rsidRDefault="00000000">
      <w:pPr>
        <w:pStyle w:val="BodyText"/>
      </w:pPr>
      <w:r>
        <w:t xml:space="preserve">I collected and dissected hundreds of snails from each of 29 streams and 22 lakes, mostly on the South Island. I recorded sex (male or female) and infection by the trematodes that </w:t>
      </w:r>
      <w:proofErr w:type="spellStart"/>
      <w:r>
        <w:t>Winterbourn</w:t>
      </w:r>
      <w:proofErr w:type="spellEnd"/>
      <w:r>
        <w:t xml:space="preserve"> (</w:t>
      </w:r>
      <w:hyperlink w:anchor="ref-winterbourn1973a">
        <w:r>
          <w:rPr>
            <w:rStyle w:val="Hyperlink"/>
          </w:rPr>
          <w:t>1973</w:t>
        </w:r>
      </w:hyperlink>
      <w:r>
        <w:t>) described. I reasoned that the frequency of males in a population must be strongly correlated with the frequency of sexual females simply because males are only produced by sexual females.</w:t>
      </w:r>
      <w:r>
        <w:rPr>
          <w:rStyle w:val="FootnoteReference"/>
        </w:rPr>
        <w:footnoteReference w:id="31"/>
      </w:r>
      <w:r>
        <w:t xml:space="preserve"> The results showed that there were more males in lakes than in streams, which was inconsistent with the Lottery Model, but it was consistent with the Tangled Bank Model. However, male frequency was better predicted by the frequency of trematode infection than by habitat </w:t>
      </w:r>
      <w:r>
        <w:rPr>
          <w:i/>
          <w:iCs/>
        </w:rPr>
        <w:t>per se</w:t>
      </w:r>
      <w:r>
        <w:t xml:space="preserve"> (</w:t>
      </w:r>
      <w:hyperlink w:anchor="ref-lively1987a">
        <w:r>
          <w:rPr>
            <w:rStyle w:val="Hyperlink"/>
          </w:rPr>
          <w:t>Lively 1987</w:t>
        </w:r>
      </w:hyperlink>
      <w:r>
        <w:t xml:space="preserve">). Hence, surprisingly, the results favored the Red Queen Hypothesis. I presented these findings to a small group at David Lloyd’s flat, and they convinced me to submit to </w:t>
      </w:r>
      <w:r>
        <w:rPr>
          <w:i/>
          <w:iCs/>
        </w:rPr>
        <w:t>Nature</w:t>
      </w:r>
      <w:r>
        <w:t>.</w:t>
      </w:r>
      <w:r>
        <w:rPr>
          <w:rStyle w:val="FootnoteReference"/>
        </w:rPr>
        <w:footnoteReference w:id="32"/>
      </w:r>
    </w:p>
    <w:p w14:paraId="43B817C5" w14:textId="77777777" w:rsidR="00FD0189" w:rsidRDefault="00000000">
      <w:pPr>
        <w:pStyle w:val="BodyText"/>
      </w:pPr>
      <w:r>
        <w:t xml:space="preserve">A fascinating paper on the same topic was published in </w:t>
      </w:r>
      <w:r>
        <w:rPr>
          <w:i/>
          <w:iCs/>
        </w:rPr>
        <w:t>Nature</w:t>
      </w:r>
      <w:r>
        <w:t xml:space="preserve"> at about the same time. This paper was also based on a strong-inference test comparing the Red Queen and the Tangled Bank. The authors, Austin </w:t>
      </w:r>
      <w:proofErr w:type="gramStart"/>
      <w:r>
        <w:t>Burt</w:t>
      </w:r>
      <w:proofErr w:type="gramEnd"/>
      <w:r>
        <w:t xml:space="preserve"> and Graham Bell (</w:t>
      </w:r>
      <w:hyperlink w:anchor="ref-burt1987a">
        <w:r>
          <w:rPr>
            <w:rStyle w:val="Hyperlink"/>
          </w:rPr>
          <w:t>1987</w:t>
        </w:r>
      </w:hyperlink>
      <w:r>
        <w:t xml:space="preserve">), examined recombination in mammals. They </w:t>
      </w:r>
      <w:r>
        <w:lastRenderedPageBreak/>
        <w:t>reasoned that under the Red Queen Hypothesis, longer-lived mammals would have higher rates of recombination because more genetic mixing would be favored as the asymmetry in host/parasite generation time increased. In contrast, the Tangled Bank Model predicted that shorter-lived mammals would have higher rates of recombination because they have larger litters, and recombination might lead to reduced competition among the more diverse offspring. Their results were stunning. Recombination was tightly and positively related to longevity in natural populations.</w:t>
      </w:r>
      <w:r>
        <w:rPr>
          <w:rStyle w:val="FootnoteReference"/>
        </w:rPr>
        <w:footnoteReference w:id="33"/>
      </w:r>
      <w:r>
        <w:t xml:space="preserve"> The Red Queen was again supported.</w:t>
      </w:r>
    </w:p>
    <w:p w14:paraId="0874BD55" w14:textId="77777777" w:rsidR="00FD0189" w:rsidRDefault="00000000">
      <w:pPr>
        <w:pStyle w:val="BodyText"/>
      </w:pPr>
      <w:r>
        <w:t xml:space="preserve">Based on these studies in </w:t>
      </w:r>
      <w:r>
        <w:rPr>
          <w:i/>
          <w:iCs/>
        </w:rPr>
        <w:t>Nature</w:t>
      </w:r>
      <w:r>
        <w:t>, I was beginning to think that parasites might be a factor in selecting for cross-fertilization and recombination in hosts. But my study as well as the study of Burt and Bell (</w:t>
      </w:r>
      <w:hyperlink w:anchor="ref-burt1987a">
        <w:r>
          <w:rPr>
            <w:rStyle w:val="Hyperlink"/>
          </w:rPr>
          <w:t>1987</w:t>
        </w:r>
      </w:hyperlink>
      <w:r>
        <w:t xml:space="preserve">) were based on correlations. And every scientist knows that correlation is not causation. On the other hand, these correlations were predicted </w:t>
      </w:r>
      <w:r>
        <w:rPr>
          <w:i/>
          <w:iCs/>
        </w:rPr>
        <w:t>a priori</w:t>
      </w:r>
      <w:r>
        <w:t xml:space="preserve"> by Lloyd (</w:t>
      </w:r>
      <w:hyperlink w:anchor="ref-lloyd1980a">
        <w:r>
          <w:rPr>
            <w:rStyle w:val="Hyperlink"/>
          </w:rPr>
          <w:t>1980</w:t>
        </w:r>
      </w:hyperlink>
      <w:r>
        <w:t>) and others (</w:t>
      </w:r>
      <w:hyperlink w:anchor="ref-bell1982a">
        <w:r>
          <w:rPr>
            <w:rStyle w:val="Hyperlink"/>
          </w:rPr>
          <w:t>Bell 1982</w:t>
        </w:r>
      </w:hyperlink>
      <w:r>
        <w:t xml:space="preserve">; </w:t>
      </w:r>
      <w:hyperlink w:anchor="ref-glesener1978a">
        <w:proofErr w:type="spellStart"/>
        <w:r>
          <w:rPr>
            <w:rStyle w:val="Hyperlink"/>
          </w:rPr>
          <w:t>Glesener</w:t>
        </w:r>
        <w:proofErr w:type="spellEnd"/>
        <w:r>
          <w:rPr>
            <w:rStyle w:val="Hyperlink"/>
          </w:rPr>
          <w:t xml:space="preserve"> &amp; Tilman 1978</w:t>
        </w:r>
      </w:hyperlink>
      <w:r>
        <w:t xml:space="preserve">). The Red Queen was supported by the data, but the data were not used to generate the hypothesis. Using the same data to both generate and substantiate hypotheses is where the problem arises with correlation, especially when multiple factors are considered in “fishing expeditions.” But forcing different hypotheses to make different </w:t>
      </w:r>
      <w:r>
        <w:rPr>
          <w:i/>
          <w:iCs/>
        </w:rPr>
        <w:t>a priori</w:t>
      </w:r>
      <w:r>
        <w:t xml:space="preserve"> predictions about the direction of correlations is, to my mind, a powerful way to evaluate alternatives.</w:t>
      </w:r>
    </w:p>
    <w:p w14:paraId="0190146A" w14:textId="77777777" w:rsidR="00FD0189" w:rsidRDefault="00000000">
      <w:pPr>
        <w:pStyle w:val="BodyText"/>
      </w:pPr>
      <w:r>
        <w:t>As a brief aside, I cannot help but mention the human toll taken by R.A. Fisher’s use of “correlation is not causation” as a way to plant doubt in the mind of smokers about the now-obvious risks of smoking (</w:t>
      </w:r>
      <w:hyperlink w:anchor="ref-gould1991a">
        <w:r>
          <w:rPr>
            <w:rStyle w:val="Hyperlink"/>
          </w:rPr>
          <w:t>Gould 1991</w:t>
        </w:r>
      </w:hyperlink>
      <w:r>
        <w:t xml:space="preserve">; </w:t>
      </w:r>
      <w:hyperlink w:anchor="ref-stolley1991a">
        <w:proofErr w:type="spellStart"/>
        <w:r>
          <w:rPr>
            <w:rStyle w:val="Hyperlink"/>
          </w:rPr>
          <w:t>Stolley</w:t>
        </w:r>
        <w:proofErr w:type="spellEnd"/>
        <w:r>
          <w:rPr>
            <w:rStyle w:val="Hyperlink"/>
          </w:rPr>
          <w:t xml:space="preserve"> 1991</w:t>
        </w:r>
      </w:hyperlink>
      <w:r>
        <w:t xml:space="preserve">). Fisher was a consultant for the tobacco industry, and he did the industry a great service at the cost of human lives. I would also add that no test statistic is causation; F statistics derived from analysis of variance are not causation. Causation might be inferred from well-designed experiments, but no statistical test is causation. Analytical theory is not causation either, as is well demonstrated by the theoretical literature on sex/recombination. Causation instead may be inferred when multiple independent lines of evidence point to similar solutions. I think that </w:t>
      </w:r>
      <w:proofErr w:type="spellStart"/>
      <w:r>
        <w:t>Levins</w:t>
      </w:r>
      <w:proofErr w:type="spellEnd"/>
      <w:r>
        <w:t xml:space="preserve"> (</w:t>
      </w:r>
      <w:hyperlink w:anchor="ref-levins1966a">
        <w:r>
          <w:rPr>
            <w:rStyle w:val="Hyperlink"/>
          </w:rPr>
          <w:t>1966</w:t>
        </w:r>
      </w:hyperlink>
      <w:r>
        <w:t>) was correct when he wrote, “Hence our truth is the intersection of independent lies.”</w:t>
      </w:r>
      <w:r>
        <w:rPr>
          <w:rStyle w:val="FootnoteReference"/>
        </w:rPr>
        <w:footnoteReference w:id="34"/>
      </w:r>
      <w:r>
        <w:t xml:space="preserve"> Although he was referring specifically to mathematical models, the same principle applies to data from biological systems. Ideally, the multiple lines of evidence would include long-term field observations of individual populations, broader biogeographic patterns across populations, and direct experiments using multiple independent systems as well as multiple theoretical forays into the conditions under which the hypothesis is expected to hold.</w:t>
      </w:r>
    </w:p>
    <w:p w14:paraId="0F6BD245" w14:textId="77777777" w:rsidR="00FD0189" w:rsidRDefault="00000000">
      <w:pPr>
        <w:pStyle w:val="BodyText"/>
      </w:pPr>
      <w:r>
        <w:lastRenderedPageBreak/>
        <w:t>In any case, my view by 1987 was that the Red Queen Hypothesis merited serious consideration.</w:t>
      </w:r>
      <w:r>
        <w:rPr>
          <w:rStyle w:val="FootnoteReference"/>
        </w:rPr>
        <w:footnoteReference w:id="35"/>
      </w:r>
      <w:r>
        <w:t xml:space="preserve"> For my own data, I now asked whether the correlation between sex and infection was a “red herring.” In other words, could the correlation be generated because of something else? Yes, it could. Here is how it might work. First, infection could be higher in dense host populations as expected under theory (</w:t>
      </w:r>
      <w:hyperlink w:anchor="ref-anderson1979a">
        <w:r>
          <w:rPr>
            <w:rStyle w:val="Hyperlink"/>
          </w:rPr>
          <w:t>Anderson &amp; May 1979</w:t>
        </w:r>
      </w:hyperlink>
      <w:r>
        <w:t xml:space="preserve">; </w:t>
      </w:r>
      <w:hyperlink w:anchor="ref-may1979a">
        <w:r>
          <w:rPr>
            <w:rStyle w:val="Hyperlink"/>
          </w:rPr>
          <w:t>May &amp; Anderson 1979</w:t>
        </w:r>
      </w:hyperlink>
      <w:r>
        <w:t>). Second, there might be more sex in dense populations because asexual reproduction is favored in sparse populations as a way for individuals to ensure reproduction even in the absence of conspecific mates (</w:t>
      </w:r>
      <w:hyperlink w:anchor="ref-gerritsen1980a">
        <w:r>
          <w:rPr>
            <w:rStyle w:val="Hyperlink"/>
          </w:rPr>
          <w:t>Gerritsen 1980</w:t>
        </w:r>
      </w:hyperlink>
      <w:r>
        <w:t xml:space="preserve">; </w:t>
      </w:r>
      <w:hyperlink w:anchor="ref-lloyd1980a">
        <w:r>
          <w:rPr>
            <w:rStyle w:val="Hyperlink"/>
          </w:rPr>
          <w:t>Lloyd 1980</w:t>
        </w:r>
      </w:hyperlink>
      <w:r>
        <w:t xml:space="preserve">; </w:t>
      </w:r>
      <w:hyperlink w:anchor="ref-tomlinson1966a">
        <w:r>
          <w:rPr>
            <w:rStyle w:val="Hyperlink"/>
          </w:rPr>
          <w:t>Tomlinson 1966</w:t>
        </w:r>
      </w:hyperlink>
      <w:r>
        <w:t>). This latter idea is called the “Reproductive Assurance Hypothesis.” Hence, one could find a positive correlation between sex and infection as a simple consequence of epidemiology and selection for reproductive assurance. So, I decided to sample again, this time focusing on South Island lakes (</w:t>
      </w:r>
      <w:hyperlink w:anchor="fig-3-5">
        <w:r>
          <w:rPr>
            <w:rStyle w:val="Hyperlink"/>
          </w:rPr>
          <w:t>Figure 3.4</w:t>
        </w:r>
      </w:hyperlink>
      <w:r>
        <w:t xml:space="preserve"> &amp; </w:t>
      </w:r>
      <w:hyperlink w:anchor="fig-3-6">
        <w:r>
          <w:rPr>
            <w:rStyle w:val="Hyperlink"/>
          </w:rPr>
          <w:t>Figure 3.5</w:t>
        </w:r>
      </w:hyperlink>
      <w:r>
        <w:t>) while also collecting data on snail density. The results were consistent with the epidemiological expectations, as there was a marginally significant positive relationship between snail density and infection prevalence, but there was no support for the Reproductive Assurance Hypothesis (</w:t>
      </w:r>
      <w:hyperlink w:anchor="ref-lively1992a">
        <w:r>
          <w:rPr>
            <w:rStyle w:val="Hyperlink"/>
          </w:rPr>
          <w:t>Lively 1992</w:t>
        </w:r>
      </w:hyperlink>
      <w:r>
        <w:t>). Finally, the previously observed positive relationship between sex and infection held (</w:t>
      </w:r>
      <w:hyperlink w:anchor="fig-3-5">
        <w:r>
          <w:rPr>
            <w:rStyle w:val="Hyperlink"/>
          </w:rPr>
          <w:t>Figure 3.4</w:t>
        </w:r>
      </w:hyperlink>
      <w:r>
        <w:t>).</w:t>
      </w:r>
      <w:r>
        <w:rPr>
          <w:rStyle w:val="FootnoteReference"/>
        </w:rPr>
        <w:footnoteReference w:id="36"/>
      </w:r>
      <w:r>
        <w:t xml:space="preserve"> The Red Queen was still in the running.</w:t>
      </w:r>
    </w:p>
    <w:tbl>
      <w:tblPr>
        <w:tblStyle w:val="Table"/>
        <w:tblW w:w="5000" w:type="pct"/>
        <w:tblLayout w:type="fixed"/>
        <w:tblLook w:val="0000" w:firstRow="0" w:lastRow="0" w:firstColumn="0" w:lastColumn="0" w:noHBand="0" w:noVBand="0"/>
      </w:tblPr>
      <w:tblGrid>
        <w:gridCol w:w="9360"/>
      </w:tblGrid>
      <w:tr w:rsidR="00FD0189" w14:paraId="0E4E54C0" w14:textId="77777777">
        <w:tc>
          <w:tcPr>
            <w:tcW w:w="7920" w:type="dxa"/>
          </w:tcPr>
          <w:p w14:paraId="366E578B" w14:textId="77777777" w:rsidR="00FD0189" w:rsidRDefault="00000000">
            <w:pPr>
              <w:pStyle w:val="Compact"/>
              <w:jc w:val="center"/>
            </w:pPr>
            <w:bookmarkStart w:id="70" w:name="fig-3-5"/>
            <w:r>
              <w:rPr>
                <w:noProof/>
              </w:rPr>
              <w:lastRenderedPageBreak/>
              <w:drawing>
                <wp:inline distT="0" distB="0" distL="0" distR="0" wp14:anchorId="25AEE958" wp14:editId="19BA11B9">
                  <wp:extent cx="3566160" cy="3526907"/>
                  <wp:effectExtent l="0" t="0" r="0" b="0"/>
                  <wp:docPr id="160" name="Picture" descr="Scatter plot showing the percentage of males in a population against the prevalence of infection in females in the same population."/>
                  <wp:cNvGraphicFramePr/>
                  <a:graphic xmlns:a="http://schemas.openxmlformats.org/drawingml/2006/main">
                    <a:graphicData uri="http://schemas.openxmlformats.org/drawingml/2006/picture">
                      <pic:pic xmlns:pic="http://schemas.openxmlformats.org/drawingml/2006/picture">
                        <pic:nvPicPr>
                          <pic:cNvPr id="160" name="Picture" descr="Scatter plot showing the percentage of males in a population against the prevalence of infection in females in the same population."/>
                          <pic:cNvPicPr>
                            <a:picLocks noChangeAspect="1" noChangeArrowheads="1"/>
                          </pic:cNvPicPr>
                        </pic:nvPicPr>
                        <pic:blipFill>
                          <a:blip r:embed="rId48"/>
                          <a:stretch>
                            <a:fillRect/>
                          </a:stretch>
                        </pic:blipFill>
                        <pic:spPr bwMode="auto">
                          <a:xfrm>
                            <a:off x="0" y="0"/>
                            <a:ext cx="3566160" cy="3526907"/>
                          </a:xfrm>
                          <a:prstGeom prst="rect">
                            <a:avLst/>
                          </a:prstGeom>
                          <a:noFill/>
                          <a:ln w="9525">
                            <a:noFill/>
                            <a:headEnd/>
                            <a:tailEnd/>
                          </a:ln>
                        </pic:spPr>
                      </pic:pic>
                    </a:graphicData>
                  </a:graphic>
                </wp:inline>
              </w:drawing>
            </w:r>
          </w:p>
          <w:p w14:paraId="4221307F" w14:textId="77777777" w:rsidR="00FD0189" w:rsidRDefault="00000000">
            <w:pPr>
              <w:pStyle w:val="ImageCaption"/>
              <w:spacing w:before="200"/>
            </w:pPr>
            <w:r>
              <w:t xml:space="preserve">Figure 3.4: Results from surveys of New Zealand lakes and streams showing percent males against the prevalence of female infection by all species of trematodes. Note the upper left side of the graph. There are no highly sexual populations where parasites are rare or absent, which suggests that </w:t>
            </w:r>
            <w:proofErr w:type="spellStart"/>
            <w:r>
              <w:t>asexuals</w:t>
            </w:r>
            <w:proofErr w:type="spellEnd"/>
            <w:r>
              <w:t xml:space="preserve"> have replaced </w:t>
            </w:r>
            <w:proofErr w:type="spellStart"/>
            <w:r>
              <w:t>sexuals</w:t>
            </w:r>
            <w:proofErr w:type="spellEnd"/>
            <w:r>
              <w:t xml:space="preserve"> were parasite-mediated selection is weak. This result is consistent with Lloyd’s prediction given in </w:t>
            </w:r>
            <w:hyperlink w:anchor="sec-eco-hyp">
              <w:r>
                <w:rPr>
                  <w:rStyle w:val="Hyperlink"/>
                </w:rPr>
                <w:t>Chapter 2</w:t>
              </w:r>
            </w:hyperlink>
            <w:r>
              <w:t>. Circles represent stream populations (</w:t>
            </w:r>
            <w:hyperlink w:anchor="ref-lively1987a">
              <w:r>
                <w:rPr>
                  <w:rStyle w:val="Hyperlink"/>
                </w:rPr>
                <w:t>Lively 1987</w:t>
              </w:r>
            </w:hyperlink>
            <w:r>
              <w:t>) plus two river samples. Gray triangles represent lake populations (</w:t>
            </w:r>
            <w:hyperlink w:anchor="ref-lively1987a">
              <w:r>
                <w:rPr>
                  <w:rStyle w:val="Hyperlink"/>
                </w:rPr>
                <w:t>Lively 1987</w:t>
              </w:r>
            </w:hyperlink>
            <w:r>
              <w:t>). Black triangles represent lake and tarn populations (</w:t>
            </w:r>
            <w:hyperlink w:anchor="ref-lively1992a">
              <w:r>
                <w:rPr>
                  <w:rStyle w:val="Hyperlink"/>
                </w:rPr>
                <w:t>Lively 1992</w:t>
              </w:r>
            </w:hyperlink>
            <w:r>
              <w:t>). The correlation is positive and statistically significant.</w:t>
            </w:r>
          </w:p>
        </w:tc>
        <w:bookmarkEnd w:id="70"/>
      </w:tr>
    </w:tbl>
    <w:p w14:paraId="6E1610B4" w14:textId="77777777" w:rsidR="00FD0189" w:rsidRDefault="00000000">
      <w:pPr>
        <w:pStyle w:val="BodyText"/>
      </w:pPr>
      <w:r>
        <w:t xml:space="preserve"> </w:t>
      </w:r>
    </w:p>
    <w:tbl>
      <w:tblPr>
        <w:tblStyle w:val="Table"/>
        <w:tblW w:w="5000" w:type="pct"/>
        <w:tblLayout w:type="fixed"/>
        <w:tblLook w:val="0000" w:firstRow="0" w:lastRow="0" w:firstColumn="0" w:lastColumn="0" w:noHBand="0" w:noVBand="0"/>
      </w:tblPr>
      <w:tblGrid>
        <w:gridCol w:w="9360"/>
      </w:tblGrid>
      <w:tr w:rsidR="00FD0189" w14:paraId="72C5B231" w14:textId="77777777">
        <w:tc>
          <w:tcPr>
            <w:tcW w:w="7920" w:type="dxa"/>
          </w:tcPr>
          <w:p w14:paraId="5F8BCA1E" w14:textId="77777777" w:rsidR="00FD0189" w:rsidRDefault="00000000">
            <w:pPr>
              <w:pStyle w:val="Compact"/>
              <w:jc w:val="center"/>
            </w:pPr>
            <w:bookmarkStart w:id="71" w:name="fig-3-6"/>
            <w:r>
              <w:rPr>
                <w:noProof/>
              </w:rPr>
              <w:lastRenderedPageBreak/>
              <w:drawing>
                <wp:inline distT="0" distB="0" distL="0" distR="0" wp14:anchorId="5EBE9EFA" wp14:editId="3D373592">
                  <wp:extent cx="3566160" cy="4615030"/>
                  <wp:effectExtent l="0" t="0" r="0" b="0"/>
                  <wp:docPr id="164" name="Picture" descr="A map of New Zealand with pie charts showing the percentage of male and female *Potamopyrgus antipodarum* in New Zealand's lakes."/>
                  <wp:cNvGraphicFramePr/>
                  <a:graphic xmlns:a="http://schemas.openxmlformats.org/drawingml/2006/main">
                    <a:graphicData uri="http://schemas.openxmlformats.org/drawingml/2006/picture">
                      <pic:pic xmlns:pic="http://schemas.openxmlformats.org/drawingml/2006/picture">
                        <pic:nvPicPr>
                          <pic:cNvPr id="164" name="Picture" descr="A map of New Zealand with pie charts showing the percentage of male and female *Potamopyrgus antipodarum* in New Zealand's lakes."/>
                          <pic:cNvPicPr>
                            <a:picLocks noChangeAspect="1" noChangeArrowheads="1"/>
                          </pic:cNvPicPr>
                        </pic:nvPicPr>
                        <pic:blipFill>
                          <a:blip r:embed="rId49"/>
                          <a:stretch>
                            <a:fillRect/>
                          </a:stretch>
                        </pic:blipFill>
                        <pic:spPr bwMode="auto">
                          <a:xfrm>
                            <a:off x="0" y="0"/>
                            <a:ext cx="3566160" cy="4615030"/>
                          </a:xfrm>
                          <a:prstGeom prst="rect">
                            <a:avLst/>
                          </a:prstGeom>
                          <a:noFill/>
                          <a:ln w="9525">
                            <a:noFill/>
                            <a:headEnd/>
                            <a:tailEnd/>
                          </a:ln>
                        </pic:spPr>
                      </pic:pic>
                    </a:graphicData>
                  </a:graphic>
                </wp:inline>
              </w:drawing>
            </w:r>
          </w:p>
          <w:p w14:paraId="10D5BD23" w14:textId="77777777" w:rsidR="00FD0189" w:rsidRDefault="00000000">
            <w:pPr>
              <w:pStyle w:val="ImageCaption"/>
              <w:spacing w:before="200"/>
            </w:pPr>
            <w:r>
              <w:t xml:space="preserve">Figure 3.5: The distribution of male and female </w:t>
            </w:r>
            <w:proofErr w:type="spellStart"/>
            <w:r>
              <w:rPr>
                <w:i/>
                <w:iCs/>
              </w:rPr>
              <w:t>Potamopyrgus</w:t>
            </w:r>
            <w:proofErr w:type="spellEnd"/>
            <w:r>
              <w:rPr>
                <w:i/>
                <w:iCs/>
              </w:rPr>
              <w:t xml:space="preserve"> </w:t>
            </w:r>
            <w:proofErr w:type="spellStart"/>
            <w:r>
              <w:rPr>
                <w:i/>
                <w:iCs/>
              </w:rPr>
              <w:t>antipodarum</w:t>
            </w:r>
            <w:proofErr w:type="spellEnd"/>
            <w:r>
              <w:t xml:space="preserve"> across New Zealand. The percentage of males is given in blue; the percentage of females is given in red. Pie charts enclosed in boxes are for lakes and tarns that are very close together. The large pie on the left-hand side shows the average frequencies of males and females across all samples. (Redrawn from </w:t>
            </w:r>
            <w:hyperlink w:anchor="ref-lively1992a">
              <w:r>
                <w:rPr>
                  <w:rStyle w:val="Hyperlink"/>
                </w:rPr>
                <w:t>Lively 1992</w:t>
              </w:r>
            </w:hyperlink>
            <w:r>
              <w:t>.)</w:t>
            </w:r>
          </w:p>
        </w:tc>
        <w:bookmarkEnd w:id="71"/>
      </w:tr>
    </w:tbl>
    <w:p w14:paraId="2551F0C6" w14:textId="77777777" w:rsidR="00FD0189" w:rsidRDefault="00000000">
      <w:pPr>
        <w:pStyle w:val="BodyText"/>
      </w:pPr>
      <w:r>
        <w:t>These results suggested that parasite-mediated selection might contribute to the persistence of sex in mixed populations of sexual and asexual snails. It is of particular interest, perhaps, to note that there are no populations with a high proportion of males in samples where parasites were rare or absent (</w:t>
      </w:r>
      <w:hyperlink w:anchor="fig-3-5">
        <w:r>
          <w:rPr>
            <w:rStyle w:val="Hyperlink"/>
          </w:rPr>
          <w:t>Figure 3.4</w:t>
        </w:r>
      </w:hyperlink>
      <w:r>
        <w:t>). This finding is consistent with David Lloyd’s (</w:t>
      </w:r>
      <w:hyperlink w:anchor="ref-lloyd1980a">
        <w:r>
          <w:rPr>
            <w:rStyle w:val="Hyperlink"/>
          </w:rPr>
          <w:t>1980</w:t>
        </w:r>
      </w:hyperlink>
      <w:r>
        <w:t xml:space="preserve">) prediction that </w:t>
      </w:r>
      <w:proofErr w:type="spellStart"/>
      <w:r>
        <w:t>asexuals</w:t>
      </w:r>
      <w:proofErr w:type="spellEnd"/>
      <w:r>
        <w:t xml:space="preserve"> should dominate in populations “with a relaxation of biological hostility” (see above). But the results are messy.</w:t>
      </w:r>
    </w:p>
    <w:p w14:paraId="538E8FDB" w14:textId="77777777" w:rsidR="00FD0189" w:rsidRDefault="00000000">
      <w:pPr>
        <w:pStyle w:val="BodyText"/>
      </w:pPr>
      <w:r>
        <w:t>There are several reasons for why the results might be expected to be messy. One is that prevalence of infection might not give a good estimate of the strength of parasite-mediated selection (</w:t>
      </w:r>
      <w:hyperlink w:anchor="ref-lively2001a">
        <w:r>
          <w:rPr>
            <w:rStyle w:val="Hyperlink"/>
          </w:rPr>
          <w:t>Lively 2001</w:t>
        </w:r>
      </w:hyperlink>
      <w:r>
        <w:t>). For example, infected snails might die at a faster rate than uninfected snails because of the energetic demands of infection. In addition, infected snails are more likely than uninfected snails to forage after sunrise, which exposes them to predation by their final hosts, ducks (</w:t>
      </w:r>
      <w:proofErr w:type="spellStart"/>
      <w:r>
        <w:fldChar w:fldCharType="begin"/>
      </w:r>
      <w:r>
        <w:instrText>HYPERLINK \l "ref-levri2000a" \h</w:instrText>
      </w:r>
      <w:r>
        <w:fldChar w:fldCharType="separate"/>
      </w:r>
      <w:r>
        <w:rPr>
          <w:rStyle w:val="Hyperlink"/>
        </w:rPr>
        <w:t>Levri</w:t>
      </w:r>
      <w:proofErr w:type="spellEnd"/>
      <w:r>
        <w:rPr>
          <w:rStyle w:val="Hyperlink"/>
        </w:rPr>
        <w:t xml:space="preserve"> &amp; Fisher 2000</w:t>
      </w:r>
      <w:r>
        <w:rPr>
          <w:rStyle w:val="Hyperlink"/>
        </w:rPr>
        <w:fldChar w:fldCharType="end"/>
      </w:r>
      <w:r>
        <w:t xml:space="preserve">; </w:t>
      </w:r>
      <w:hyperlink w:anchor="ref-levri1996a">
        <w:proofErr w:type="spellStart"/>
        <w:r>
          <w:rPr>
            <w:rStyle w:val="Hyperlink"/>
          </w:rPr>
          <w:t>Levri</w:t>
        </w:r>
        <w:proofErr w:type="spellEnd"/>
        <w:r>
          <w:rPr>
            <w:rStyle w:val="Hyperlink"/>
          </w:rPr>
          <w:t xml:space="preserve"> &amp; Lively 1996</w:t>
        </w:r>
      </w:hyperlink>
      <w:r>
        <w:t xml:space="preserve">). Prevalence of infection might also fluctuate </w:t>
      </w:r>
      <w:r>
        <w:lastRenderedPageBreak/>
        <w:t>over time as the genetic diversity in the host population changes and/or as the final hosts move among locations. We now know that the prevalence of infection varies greatly among years and among sites in the same lake (</w:t>
      </w:r>
      <w:hyperlink w:anchor="ref-gibson2016a">
        <w:r>
          <w:rPr>
            <w:rStyle w:val="Hyperlink"/>
          </w:rPr>
          <w:t xml:space="preserve">Gibson </w:t>
        </w:r>
        <w:r>
          <w:rPr>
            <w:rStyle w:val="Hyperlink"/>
            <w:i/>
            <w:iCs/>
          </w:rPr>
          <w:t>et al.</w:t>
        </w:r>
        <w:r>
          <w:rPr>
            <w:rStyle w:val="Hyperlink"/>
          </w:rPr>
          <w:t xml:space="preserve"> 2016</w:t>
        </w:r>
      </w:hyperlink>
      <w:r>
        <w:t>). Thus, detecting a significant correlation between sex and infection could be dicey, even if parasites were solely responsible for the short-term maintenance of sex in mixed populations.</w:t>
      </w:r>
      <w:r>
        <w:rPr>
          <w:rStyle w:val="FootnoteReference"/>
        </w:rPr>
        <w:footnoteReference w:id="37"/>
      </w:r>
    </w:p>
    <w:p w14:paraId="1F3199AE" w14:textId="77777777" w:rsidR="00FD0189" w:rsidRDefault="00000000">
      <w:pPr>
        <w:pStyle w:val="BodyText"/>
      </w:pPr>
      <w:r>
        <w:t xml:space="preserve">Along these lines, many of the points in </w:t>
      </w:r>
      <w:hyperlink w:anchor="fig-3-5">
        <w:r>
          <w:rPr>
            <w:rStyle w:val="Hyperlink"/>
          </w:rPr>
          <w:t>Figure 3.4</w:t>
        </w:r>
      </w:hyperlink>
      <w:r>
        <w:t xml:space="preserve"> represent a single sample taken at one site at one point in time. This limitation likely introduces “noise” into the data, especially for samples where parasites are only periodically common. For this reason, Jukka Jokela</w:t>
      </w:r>
      <w:r>
        <w:rPr>
          <w:rStyle w:val="FootnoteReference"/>
        </w:rPr>
        <w:footnoteReference w:id="38"/>
      </w:r>
      <w:r>
        <w:t xml:space="preserve"> and I selected 20 of the best sampled lakes from the data set given in </w:t>
      </w:r>
      <w:hyperlink w:anchor="fig-3-5">
        <w:r>
          <w:rPr>
            <w:rStyle w:val="Hyperlink"/>
          </w:rPr>
          <w:t>Figure 3.4</w:t>
        </w:r>
      </w:hyperlink>
      <w:r>
        <w:t>. We then resampled all 20 lakes 10 – 15 years after my original samples (with greater coverage of the lakes and larger sample sizes). We found that prevalence of infection within lakes was highly correlated between sample periods. This result suggests that lakes for which parasite-mediated selection was relatively high during the first set of samples was also relatively high in the second set of samples. In addition, male frequency within lakes was also highly correlated between sample periods (</w:t>
      </w:r>
      <w:hyperlink w:anchor="ref-lively2002a">
        <w:r>
          <w:rPr>
            <w:rStyle w:val="Hyperlink"/>
          </w:rPr>
          <w:t>Lively &amp; Jokela 2002</w:t>
        </w:r>
      </w:hyperlink>
      <w:r>
        <w:t>). We then averaged the data for each lake across time periods under the assumption that the averages would better represent the frequency of males and the prevalence of infection over time. With these averages, the correlation between male frequency and infection prevalence was positive and statistically significant.</w:t>
      </w:r>
      <w:r>
        <w:rPr>
          <w:rStyle w:val="FootnoteReference"/>
        </w:rPr>
        <w:footnoteReference w:id="39"/>
      </w:r>
    </w:p>
    <w:p w14:paraId="4CE168E0" w14:textId="77777777" w:rsidR="00FD0189" w:rsidRDefault="00000000">
      <w:pPr>
        <w:pStyle w:val="BodyText"/>
      </w:pPr>
      <w:r>
        <w:t>None of this is meant to imply proof of the Red Queen Hypothesis or that density dependence and random environmental change are not relevant for a full understanding of the problem.</w:t>
      </w:r>
      <w:r>
        <w:rPr>
          <w:rStyle w:val="FootnoteReference"/>
        </w:rPr>
        <w:footnoteReference w:id="40"/>
      </w:r>
      <w:r>
        <w:t xml:space="preserve"> But the results do imply that the Red Queen Hypothesis was (and still is) worthy of further study.</w:t>
      </w:r>
    </w:p>
    <w:p w14:paraId="7E8129D8" w14:textId="77777777" w:rsidR="00FD0189" w:rsidRDefault="00000000">
      <w:pPr>
        <w:pStyle w:val="Heading2"/>
      </w:pPr>
      <w:bookmarkStart w:id="72" w:name="summary-2"/>
      <w:bookmarkStart w:id="73" w:name="_Toc159248503"/>
      <w:bookmarkEnd w:id="68"/>
      <w:r>
        <w:t>3.3 Summary</w:t>
      </w:r>
      <w:bookmarkEnd w:id="73"/>
    </w:p>
    <w:p w14:paraId="3C2F46D2" w14:textId="77777777" w:rsidR="00FD0189" w:rsidRDefault="00000000">
      <w:pPr>
        <w:pStyle w:val="Compact"/>
        <w:numPr>
          <w:ilvl w:val="0"/>
          <w:numId w:val="31"/>
        </w:numPr>
      </w:pPr>
      <w:r>
        <w:t>The co-occurrence of discrete morphs is inherently interesting to evolutionary biologists. Genetic diversity is also inherently interesting.</w:t>
      </w:r>
    </w:p>
    <w:p w14:paraId="7CBCA9CC" w14:textId="77777777" w:rsidR="00FD0189" w:rsidRDefault="00000000">
      <w:pPr>
        <w:pStyle w:val="Compact"/>
        <w:numPr>
          <w:ilvl w:val="0"/>
          <w:numId w:val="31"/>
        </w:numPr>
      </w:pPr>
      <w:r>
        <w:t xml:space="preserve">Some populations of the New Zealand freshwater snail, </w:t>
      </w:r>
      <w:proofErr w:type="spellStart"/>
      <w:r>
        <w:rPr>
          <w:i/>
          <w:iCs/>
        </w:rPr>
        <w:t>Potamopyrgus</w:t>
      </w:r>
      <w:proofErr w:type="spellEnd"/>
      <w:r>
        <w:rPr>
          <w:i/>
          <w:iCs/>
        </w:rPr>
        <w:t xml:space="preserve"> </w:t>
      </w:r>
      <w:proofErr w:type="spellStart"/>
      <w:r>
        <w:rPr>
          <w:i/>
          <w:iCs/>
        </w:rPr>
        <w:t>antipodarum</w:t>
      </w:r>
      <w:proofErr w:type="spellEnd"/>
      <w:r>
        <w:t>, contain both sexual and asexual females. Other populations are mostly or completely parthenogenetic. This makes the snail a very useful natural system for contrasting alternative hypotheses for the maintenance of sexual reproduction.</w:t>
      </w:r>
    </w:p>
    <w:p w14:paraId="6CCAEA32" w14:textId="77777777" w:rsidR="00FD0189" w:rsidRDefault="00000000">
      <w:pPr>
        <w:pStyle w:val="Compact"/>
        <w:numPr>
          <w:ilvl w:val="0"/>
          <w:numId w:val="31"/>
        </w:numPr>
      </w:pPr>
      <w:r>
        <w:lastRenderedPageBreak/>
        <w:t>The prevalence of sterilizing trematode larvae is a better predictor sexual reproduction in the snail than habitat (lakes versus streams), thus favoring the Red Queen Hypothesis over the alternative ecological hypotheses.</w:t>
      </w:r>
    </w:p>
    <w:p w14:paraId="3F87805E" w14:textId="77777777" w:rsidR="00FD0189" w:rsidRDefault="00000000">
      <w:pPr>
        <w:pStyle w:val="Compact"/>
        <w:numPr>
          <w:ilvl w:val="0"/>
          <w:numId w:val="31"/>
        </w:numPr>
      </w:pPr>
      <w:r>
        <w:t xml:space="preserve">Comparing the </w:t>
      </w:r>
      <w:r>
        <w:rPr>
          <w:i/>
          <w:iCs/>
        </w:rPr>
        <w:t>a priori</w:t>
      </w:r>
      <w:r>
        <w:t xml:space="preserve"> predictions of multiple working hypotheses can be helpful to evaluate competing ideas. Field studies of natural systems may be required to fully understand why cross-fertilization is so common.</w:t>
      </w:r>
    </w:p>
    <w:p w14:paraId="4C5467E5" w14:textId="77777777" w:rsidR="00FD0189" w:rsidRDefault="00000000">
      <w:pPr>
        <w:pStyle w:val="Heading2"/>
      </w:pPr>
      <w:bookmarkStart w:id="74" w:name="sec-app-3"/>
      <w:bookmarkStart w:id="75" w:name="_Toc159248504"/>
      <w:bookmarkEnd w:id="72"/>
      <w:r>
        <w:t>3.4 Appendix: A Model of Phenotypic Plasticity</w:t>
      </w:r>
      <w:bookmarkEnd w:id="75"/>
    </w:p>
    <w:p w14:paraId="5D229C8C" w14:textId="77777777" w:rsidR="00FD0189" w:rsidRDefault="00000000">
      <w:pPr>
        <w:pStyle w:val="FirstParagraph"/>
      </w:pPr>
      <w:r>
        <w:t>As part of my dissertation research, I constructed a game-theoretic model of selection on three strategies:</w:t>
      </w:r>
    </w:p>
    <w:p w14:paraId="13DC9754" w14:textId="77777777" w:rsidR="00FD0189" w:rsidRDefault="00000000">
      <w:pPr>
        <w:pStyle w:val="Compact"/>
        <w:numPr>
          <w:ilvl w:val="0"/>
          <w:numId w:val="32"/>
        </w:numPr>
      </w:pPr>
      <w:r>
        <w:t>canalized development into a high-fecundity morph,</w:t>
      </w:r>
    </w:p>
    <w:p w14:paraId="10A63DA5" w14:textId="77777777" w:rsidR="00FD0189" w:rsidRDefault="00000000">
      <w:pPr>
        <w:pStyle w:val="Compact"/>
        <w:numPr>
          <w:ilvl w:val="0"/>
          <w:numId w:val="32"/>
        </w:numPr>
      </w:pPr>
      <w:r>
        <w:t>canalized development into a low-fecundity, predation-resistant morph,</w:t>
      </w:r>
    </w:p>
    <w:p w14:paraId="5497AB65" w14:textId="77777777" w:rsidR="00FD0189" w:rsidRDefault="00000000">
      <w:pPr>
        <w:pStyle w:val="Compact"/>
        <w:numPr>
          <w:ilvl w:val="0"/>
          <w:numId w:val="32"/>
        </w:numPr>
      </w:pPr>
      <w:r>
        <w:t xml:space="preserve">induced development into the </w:t>
      </w:r>
      <w:proofErr w:type="gramStart"/>
      <w:r>
        <w:t>low-fecundity</w:t>
      </w:r>
      <w:proofErr w:type="gramEnd"/>
      <w:r>
        <w:t xml:space="preserve"> defended morph in the presence of predators.</w:t>
      </w:r>
    </w:p>
    <w:p w14:paraId="59973455" w14:textId="77777777" w:rsidR="00FD0189" w:rsidRDefault="00000000">
      <w:pPr>
        <w:pStyle w:val="FirstParagraph"/>
      </w:pPr>
      <w:r>
        <w:t>The model examined evolutionary stability for a range of frequencies for two patches (high predation risk and low predation risk) across a range of values for the accuracy of the cue predicting future predation risk (</w:t>
      </w:r>
      <w:hyperlink w:anchor="ref-lively1986a">
        <w:r>
          <w:rPr>
            <w:rStyle w:val="Hyperlink"/>
          </w:rPr>
          <w:t>Lively 1986a</w:t>
        </w:r>
      </w:hyperlink>
      <w:r>
        <w:t>).</w:t>
      </w:r>
    </w:p>
    <w:p w14:paraId="18BF7746" w14:textId="77777777" w:rsidR="00FD0189" w:rsidRDefault="00000000">
      <w:pPr>
        <w:pStyle w:val="BodyText"/>
      </w:pPr>
      <w:r>
        <w:t>An example of the output is shown below. The results show that any of the three strategies can be an ESS in part of the parameter space.</w:t>
      </w:r>
      <w:r>
        <w:rPr>
          <w:rStyle w:val="FootnoteReference"/>
        </w:rPr>
        <w:footnoteReference w:id="41"/>
      </w:r>
      <w:r>
        <w:t xml:space="preserve"> High reliability of the cue and intermediate patch frequencies favor the plastic strategy. Genetic polymorphism is expected under a relatively narrow set of conditions. Mixtures of constitutive and plastic strategies can also be stable. Note that changing the patch frequencies leads to evolutionary change. For example, reducing the frequency of the low-risk patch can lead to a selective sweep (arrow a). It can also lead to the evolution of plasticity (arrow b) and the evolution of canalized development (arrow c). Increasing the accuracy of the cue can also lead to the evolution of plasticity. It might be especially interesting to note that the trajectory of arrow b would give the appearance of saltatory change followed by stasis (i.e., punctuated equilibrium) (</w:t>
      </w:r>
      <w:proofErr w:type="spellStart"/>
      <w:r>
        <w:fldChar w:fldCharType="begin"/>
      </w:r>
      <w:r>
        <w:instrText>HYPERLINK \l "ref-levinton1988a" \h</w:instrText>
      </w:r>
      <w:r>
        <w:fldChar w:fldCharType="separate"/>
      </w:r>
      <w:r>
        <w:rPr>
          <w:rStyle w:val="Hyperlink"/>
        </w:rPr>
        <w:t>Levinton</w:t>
      </w:r>
      <w:proofErr w:type="spellEnd"/>
      <w:r>
        <w:rPr>
          <w:rStyle w:val="Hyperlink"/>
        </w:rPr>
        <w:t xml:space="preserve"> 1988</w:t>
      </w:r>
      <w:r>
        <w:rPr>
          <w:rStyle w:val="Hyperlink"/>
        </w:rPr>
        <w:fldChar w:fldCharType="end"/>
      </w:r>
      <w:r>
        <w:t>). Also note that the conditions for a genetic polymorphism are relatively narrow. Redrawn from Lively (</w:t>
      </w:r>
      <w:hyperlink w:anchor="ref-lively1999b">
        <w:r>
          <w:rPr>
            <w:rStyle w:val="Hyperlink"/>
          </w:rPr>
          <w:t>1999a</w:t>
        </w:r>
      </w:hyperlink>
      <w:r>
        <w:t>) assuming a small cost to plasticity.</w:t>
      </w:r>
    </w:p>
    <w:p w14:paraId="044F7C78" w14:textId="77777777" w:rsidR="00FD0189" w:rsidRDefault="00000000">
      <w:pPr>
        <w:pStyle w:val="BodyText"/>
      </w:pPr>
      <w:r>
        <w:rPr>
          <w:noProof/>
        </w:rPr>
        <w:lastRenderedPageBreak/>
        <w:drawing>
          <wp:inline distT="0" distB="0" distL="0" distR="0" wp14:anchorId="74C58141" wp14:editId="1DDF0396">
            <wp:extent cx="5943600" cy="3088595"/>
            <wp:effectExtent l="0" t="0" r="0" b="0"/>
            <wp:docPr id="175" name="Picture" descr="A plot showing evolutionarily stable strategies or stable mixtures of strategies depending on the reliability of the environmental cue for plasticity and the frequency of the low-risk patch."/>
            <wp:cNvGraphicFramePr/>
            <a:graphic xmlns:a="http://schemas.openxmlformats.org/drawingml/2006/main">
              <a:graphicData uri="http://schemas.openxmlformats.org/drawingml/2006/picture">
                <pic:pic xmlns:pic="http://schemas.openxmlformats.org/drawingml/2006/picture">
                  <pic:nvPicPr>
                    <pic:cNvPr id="175" name="Picture" descr="A plot showing evolutionarily stable strategies or stable mixtures of strategies depending on the reliability of the environmental cue for plasticity and the frequency of the low-risk patch."/>
                    <pic:cNvPicPr>
                      <a:picLocks noChangeAspect="1" noChangeArrowheads="1"/>
                    </pic:cNvPicPr>
                  </pic:nvPicPr>
                  <pic:blipFill>
                    <a:blip r:embed="rId50"/>
                    <a:stretch>
                      <a:fillRect/>
                    </a:stretch>
                  </pic:blipFill>
                  <pic:spPr bwMode="auto">
                    <a:xfrm>
                      <a:off x="0" y="0"/>
                      <a:ext cx="5943600" cy="3088595"/>
                    </a:xfrm>
                    <a:prstGeom prst="rect">
                      <a:avLst/>
                    </a:prstGeom>
                    <a:noFill/>
                    <a:ln w="9525">
                      <a:noFill/>
                      <a:headEnd/>
                      <a:tailEnd/>
                    </a:ln>
                  </pic:spPr>
                </pic:pic>
              </a:graphicData>
            </a:graphic>
          </wp:inline>
        </w:drawing>
      </w:r>
    </w:p>
    <w:p w14:paraId="7866B85E" w14:textId="77777777" w:rsidR="00FD0189" w:rsidRDefault="00000000">
      <w:pPr>
        <w:pStyle w:val="Heading1"/>
      </w:pPr>
      <w:bookmarkStart w:id="76" w:name="sec-self-non"/>
      <w:bookmarkStart w:id="77" w:name="_Toc159248505"/>
      <w:bookmarkEnd w:id="59"/>
      <w:bookmarkEnd w:id="74"/>
      <w:r>
        <w:lastRenderedPageBreak/>
        <w:t>4. Self- / Non-Self-Recognition and Local Adaptation</w:t>
      </w:r>
      <w:bookmarkEnd w:id="77"/>
    </w:p>
    <w:p w14:paraId="17BBF7DF" w14:textId="77777777" w:rsidR="00FD0189" w:rsidRDefault="00000000">
      <w:pPr>
        <w:pStyle w:val="FirstParagraph"/>
      </w:pPr>
      <w:r>
        <w:rPr>
          <w:noProof/>
        </w:rPr>
        <w:drawing>
          <wp:inline distT="0" distB="0" distL="0" distR="0" wp14:anchorId="0DD537D1" wp14:editId="0F994712">
            <wp:extent cx="1670304" cy="1563624"/>
            <wp:effectExtent l="0" t="0" r="0" b="0"/>
            <wp:docPr id="180" name="Pictur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80" name="Picture">
                      <a:extLst>
                        <a:ext uri="{C183D7F6-B498-43B3-948B-1728B52AA6E4}">
                          <adec:decorative xmlns:adec="http://schemas.microsoft.com/office/drawing/2017/decorative" val="1"/>
                        </a:ext>
                      </a:extLst>
                    </pic:cNvPr>
                    <pic:cNvPicPr>
                      <a:picLocks noChangeAspect="1" noChangeArrowheads="1"/>
                    </pic:cNvPicPr>
                  </pic:nvPicPr>
                  <pic:blipFill>
                    <a:blip r:embed="rId51"/>
                    <a:stretch>
                      <a:fillRect/>
                    </a:stretch>
                  </pic:blipFill>
                  <pic:spPr bwMode="auto">
                    <a:xfrm>
                      <a:off x="0" y="0"/>
                      <a:ext cx="1670304" cy="1563624"/>
                    </a:xfrm>
                    <a:prstGeom prst="rect">
                      <a:avLst/>
                    </a:prstGeom>
                    <a:noFill/>
                    <a:ln w="9525">
                      <a:noFill/>
                      <a:headEnd/>
                      <a:tailEnd/>
                    </a:ln>
                  </pic:spPr>
                </pic:pic>
              </a:graphicData>
            </a:graphic>
          </wp:inline>
        </w:drawing>
      </w:r>
    </w:p>
    <w:p w14:paraId="2120D418" w14:textId="77777777" w:rsidR="00FD0189" w:rsidRDefault="00000000">
      <w:pPr>
        <w:pStyle w:val="BodyText"/>
      </w:pPr>
      <w:r>
        <w:t>One way to falsify the Red Queen is to experimentally show that the expectations of the hypothesis are not met. One expectation is that parasites would quickly become adapted to infecting their local host populations. Here is the logic. If parasites are closely tracking common host genotypes in their local (sympatric) populations, then they should be better, on average, at infecting sympatric hosts than foreign (allopatric) hosts. If this is not the case, then parasites would seem unlikely (at least to me) to be a factor selecting for sexual reproduction.</w:t>
      </w:r>
    </w:p>
    <w:p w14:paraId="03756B66" w14:textId="77777777" w:rsidR="00FD0189" w:rsidRDefault="00000000">
      <w:pPr>
        <w:pStyle w:val="BodyText"/>
      </w:pPr>
      <w:r>
        <w:t>I am often asked why we would expect the parasites to be better at infecting their local hosts instead of the opposite. Why shouldn’t hosts evolve to be more resistant to their local parasites than to allopatric parasites? It is a fair question. One common answer is that parasites are locally adapted to host populations because they have faster generation times. But that cannot be the whole answer. Theory has shown that parasites can be locally adapted even when there is no generation-time asymmetry (</w:t>
      </w:r>
      <w:proofErr w:type="spellStart"/>
      <w:r>
        <w:fldChar w:fldCharType="begin"/>
      </w:r>
      <w:r>
        <w:instrText>HYPERLINK \l "ref-gandon2002a" \h</w:instrText>
      </w:r>
      <w:r>
        <w:fldChar w:fldCharType="separate"/>
      </w:r>
      <w:r>
        <w:rPr>
          <w:rStyle w:val="Hyperlink"/>
        </w:rPr>
        <w:t>Gandon</w:t>
      </w:r>
      <w:proofErr w:type="spellEnd"/>
      <w:r>
        <w:rPr>
          <w:rStyle w:val="Hyperlink"/>
        </w:rPr>
        <w:t xml:space="preserve"> &amp; </w:t>
      </w:r>
      <w:proofErr w:type="spellStart"/>
      <w:r>
        <w:rPr>
          <w:rStyle w:val="Hyperlink"/>
        </w:rPr>
        <w:t>Michalakis</w:t>
      </w:r>
      <w:proofErr w:type="spellEnd"/>
      <w:r>
        <w:rPr>
          <w:rStyle w:val="Hyperlink"/>
        </w:rPr>
        <w:t xml:space="preserve"> 2002</w:t>
      </w:r>
      <w:r>
        <w:rPr>
          <w:rStyle w:val="Hyperlink"/>
        </w:rPr>
        <w:fldChar w:fldCharType="end"/>
      </w:r>
      <w:r>
        <w:t xml:space="preserve">; </w:t>
      </w:r>
      <w:hyperlink w:anchor="ref-lively1999a">
        <w:r>
          <w:rPr>
            <w:rStyle w:val="Hyperlink"/>
          </w:rPr>
          <w:t>Lively 1999b</w:t>
        </w:r>
      </w:hyperlink>
      <w:r>
        <w:t>). Instead, I think the answer has more to do with the underlying genetic basis for infection.</w:t>
      </w:r>
    </w:p>
    <w:p w14:paraId="4AA5D0E4" w14:textId="77777777" w:rsidR="00FD0189" w:rsidRDefault="00000000">
      <w:pPr>
        <w:pStyle w:val="BodyText"/>
      </w:pPr>
      <w:r>
        <w:t xml:space="preserve">What, then, is the genetic basis for infection? This was unknown, but I was assuming that all animal hosts have a self- / non-self-recognition system, such that they can detect foreign tissues (e.g., parasites or tissue grafts) that do not match their own. Sponges, for example, accept tissue grafts from self, but reject grafts from unrelated individuals of the same species (review in </w:t>
      </w:r>
      <w:hyperlink w:anchor="ref-gaino1999a">
        <w:proofErr w:type="spellStart"/>
        <w:r>
          <w:rPr>
            <w:rStyle w:val="Hyperlink"/>
          </w:rPr>
          <w:t>Gaino</w:t>
        </w:r>
        <w:proofErr w:type="spellEnd"/>
        <w:r>
          <w:rPr>
            <w:rStyle w:val="Hyperlink"/>
          </w:rPr>
          <w:t xml:space="preserve"> </w:t>
        </w:r>
        <w:r>
          <w:rPr>
            <w:rStyle w:val="Hyperlink"/>
            <w:i/>
            <w:iCs/>
          </w:rPr>
          <w:t>et al.</w:t>
        </w:r>
        <w:r>
          <w:rPr>
            <w:rStyle w:val="Hyperlink"/>
          </w:rPr>
          <w:t xml:space="preserve"> 1999</w:t>
        </w:r>
      </w:hyperlink>
      <w:r>
        <w:t>). This ability to reject foreign tissues seems widely conserved (</w:t>
      </w:r>
      <w:hyperlink w:anchor="ref-buss1990a">
        <w:r>
          <w:rPr>
            <w:rStyle w:val="Hyperlink"/>
          </w:rPr>
          <w:t>Buss 1990</w:t>
        </w:r>
      </w:hyperlink>
      <w:r>
        <w:t>). I was also assuming that the self- / non-self-recognition system is genetically variable and that different host genotypes would dominate in different populations. Parasite genotypes that match the most common local host genotypes would be favored by natural selection, and these parasite genotypes should increase in frequency. This should lead to local adaptation by the parasites. Fortunately, one can test for local adaptation using reciprocal cross-inoculation experiments.</w:t>
      </w:r>
    </w:p>
    <w:p w14:paraId="564B9471" w14:textId="77777777" w:rsidR="00FD0189" w:rsidRDefault="00000000">
      <w:pPr>
        <w:pStyle w:val="Heading2"/>
      </w:pPr>
      <w:bookmarkStart w:id="78" w:name="experimental-studies-of-local-adaption"/>
      <w:bookmarkStart w:id="79" w:name="_Toc159248506"/>
      <w:r>
        <w:t>4.1 Experimental Studies of Local Adaption</w:t>
      </w:r>
      <w:bookmarkEnd w:id="79"/>
    </w:p>
    <w:p w14:paraId="2C8A962F" w14:textId="77777777" w:rsidR="00FD0189" w:rsidRDefault="00000000">
      <w:pPr>
        <w:pStyle w:val="FirstParagraph"/>
      </w:pPr>
      <w:r>
        <w:t xml:space="preserve">While I was still a post-doc in New Zealand, I set up two reciprocal cross-inoculation experiments to test for local adaptation by the parasites. I knew from my field surveys that one species of sterilizing trematode was especially common in lake populations of the snail. This species was not formally described, but Jan McKenzie sent it to a trematode expert in France, </w:t>
      </w:r>
      <w:r>
        <w:lastRenderedPageBreak/>
        <w:t xml:space="preserve">who thought it belonged in the genus </w:t>
      </w:r>
      <w:r>
        <w:rPr>
          <w:i/>
          <w:iCs/>
        </w:rPr>
        <w:t>Microphallus</w:t>
      </w:r>
      <w:r>
        <w:t xml:space="preserve">; hence I will refer to it as </w:t>
      </w:r>
      <w:r>
        <w:rPr>
          <w:i/>
          <w:iCs/>
        </w:rPr>
        <w:t>Microphallus</w:t>
      </w:r>
      <w:r>
        <w:t xml:space="preserve"> sp.</w:t>
      </w:r>
      <w:r>
        <w:rPr>
          <w:rStyle w:val="FootnoteReference"/>
        </w:rPr>
        <w:footnoteReference w:id="42"/>
      </w:r>
      <w:r>
        <w:t xml:space="preserve"> The life cycle of </w:t>
      </w:r>
      <w:r>
        <w:rPr>
          <w:i/>
          <w:iCs/>
        </w:rPr>
        <w:t>Microphallus</w:t>
      </w:r>
      <w:r>
        <w:t xml:space="preserve"> turns out to be especially crucial to the story. The adult worms are tiny simultaneous hermaphrodites that live in the intestines of ducks. They cross-fertilize and produce eggs that are shed with the duck feces into the environment. In most trematodes, the eggs normally hatch in water, thereby releasing a swimming larval stage (miracidia), which actively swims to and penetrates the body of snails. This is the case for the trematodes that cause the human disease, Schistosomiasis. But, in this New Zealand species of </w:t>
      </w:r>
      <w:r>
        <w:rPr>
          <w:i/>
          <w:iCs/>
        </w:rPr>
        <w:t>Microphallus</w:t>
      </w:r>
      <w:r>
        <w:t>, the eggs hatch not in the environment but rather after being ingested by snails. The larvae then penetrate the snail from the inside. If the snail’s immune system does not recognize the larvae as foreign tissue, the larvae reproduce asexually, producing several hundred cysts (metacercaria) in the snail. These cysts completely replace the reproductive tissue in both males and females. Infected snails are sterilized (</w:t>
      </w:r>
      <w:hyperlink w:anchor="fig-4.1">
        <w:r>
          <w:rPr>
            <w:rStyle w:val="Hyperlink"/>
          </w:rPr>
          <w:t>Figure 4.1</w:t>
        </w:r>
      </w:hyperlink>
      <w:r>
        <w:t xml:space="preserve">; </w:t>
      </w:r>
      <w:hyperlink w:anchor="fig-4.2">
        <w:r>
          <w:rPr>
            <w:rStyle w:val="Hyperlink"/>
          </w:rPr>
          <w:t>Figure 4.2</w:t>
        </w:r>
      </w:hyperlink>
      <w:r>
        <w:t>).</w:t>
      </w:r>
    </w:p>
    <w:tbl>
      <w:tblPr>
        <w:tblStyle w:val="Table"/>
        <w:tblW w:w="5000" w:type="pct"/>
        <w:tblLayout w:type="fixed"/>
        <w:tblLook w:val="0000" w:firstRow="0" w:lastRow="0" w:firstColumn="0" w:lastColumn="0" w:noHBand="0" w:noVBand="0"/>
      </w:tblPr>
      <w:tblGrid>
        <w:gridCol w:w="9360"/>
      </w:tblGrid>
      <w:tr w:rsidR="00FD0189" w14:paraId="5BD6F532" w14:textId="77777777">
        <w:tc>
          <w:tcPr>
            <w:tcW w:w="7920" w:type="dxa"/>
          </w:tcPr>
          <w:p w14:paraId="5BB04876" w14:textId="77777777" w:rsidR="00FD0189" w:rsidRDefault="00000000">
            <w:pPr>
              <w:pStyle w:val="Compact"/>
              <w:jc w:val="center"/>
            </w:pPr>
            <w:bookmarkStart w:id="80" w:name="fig-4.1"/>
            <w:r>
              <w:rPr>
                <w:noProof/>
              </w:rPr>
              <w:drawing>
                <wp:inline distT="0" distB="0" distL="0" distR="0" wp14:anchorId="54E63E0B" wp14:editId="19C35969">
                  <wp:extent cx="4160520" cy="2920521"/>
                  <wp:effectExtent l="0" t="0" r="0" b="0"/>
                  <wp:docPr id="184" name="Picture" descr="Illustration of the life cycle of the trematode Microphallus."/>
                  <wp:cNvGraphicFramePr/>
                  <a:graphic xmlns:a="http://schemas.openxmlformats.org/drawingml/2006/main">
                    <a:graphicData uri="http://schemas.openxmlformats.org/drawingml/2006/picture">
                      <pic:pic xmlns:pic="http://schemas.openxmlformats.org/drawingml/2006/picture">
                        <pic:nvPicPr>
                          <pic:cNvPr id="184" name="Picture" descr="Illustration of the life cycle of the trematode Microphallus."/>
                          <pic:cNvPicPr>
                            <a:picLocks noChangeAspect="1" noChangeArrowheads="1"/>
                          </pic:cNvPicPr>
                        </pic:nvPicPr>
                        <pic:blipFill>
                          <a:blip r:embed="rId52"/>
                          <a:stretch>
                            <a:fillRect/>
                          </a:stretch>
                        </pic:blipFill>
                        <pic:spPr bwMode="auto">
                          <a:xfrm>
                            <a:off x="0" y="0"/>
                            <a:ext cx="4160520" cy="2920521"/>
                          </a:xfrm>
                          <a:prstGeom prst="rect">
                            <a:avLst/>
                          </a:prstGeom>
                          <a:noFill/>
                          <a:ln w="9525">
                            <a:noFill/>
                            <a:headEnd/>
                            <a:tailEnd/>
                          </a:ln>
                        </pic:spPr>
                      </pic:pic>
                    </a:graphicData>
                  </a:graphic>
                </wp:inline>
              </w:drawing>
            </w:r>
          </w:p>
          <w:p w14:paraId="14D8CA56" w14:textId="77777777" w:rsidR="00FD0189" w:rsidRDefault="00000000">
            <w:pPr>
              <w:pStyle w:val="ImageCaption"/>
              <w:spacing w:before="200"/>
            </w:pPr>
            <w:r>
              <w:t xml:space="preserve">Figure 4.1: The life cycle of the trematode </w:t>
            </w:r>
            <w:r>
              <w:rPr>
                <w:i/>
                <w:iCs/>
              </w:rPr>
              <w:t>Microphallus</w:t>
            </w:r>
            <w:r>
              <w:t xml:space="preserve">. The adult worms live in the intestines of waterfowl and wading birds (black stilts). They produce cross-fertilized eggs, which are released into lakes and streams with the bird’s feces. The eggs hatch following ingestion by snails. Infection results in the asexual production of hundreds of cysts (called metacercaria). These cysts “hatch” and mature following ingestion by ducks, thus completing the life cycle. Drawing by Zoe M </w:t>
            </w:r>
            <w:proofErr w:type="spellStart"/>
            <w:r>
              <w:t>Dinges</w:t>
            </w:r>
            <w:proofErr w:type="spellEnd"/>
            <w:r>
              <w:t>.</w:t>
            </w:r>
          </w:p>
        </w:tc>
        <w:bookmarkEnd w:id="80"/>
      </w:tr>
    </w:tbl>
    <w:p w14:paraId="60896298" w14:textId="77777777" w:rsidR="00FD0189" w:rsidRDefault="00000000">
      <w:pPr>
        <w:pStyle w:val="BodyText"/>
      </w:pPr>
      <w:r>
        <w:t xml:space="preserve"> </w:t>
      </w:r>
    </w:p>
    <w:tbl>
      <w:tblPr>
        <w:tblStyle w:val="Table"/>
        <w:tblW w:w="5000" w:type="pct"/>
        <w:tblLayout w:type="fixed"/>
        <w:tblLook w:val="0000" w:firstRow="0" w:lastRow="0" w:firstColumn="0" w:lastColumn="0" w:noHBand="0" w:noVBand="0"/>
      </w:tblPr>
      <w:tblGrid>
        <w:gridCol w:w="9360"/>
      </w:tblGrid>
      <w:tr w:rsidR="00FD0189" w14:paraId="145FDA94" w14:textId="77777777">
        <w:tc>
          <w:tcPr>
            <w:tcW w:w="7920" w:type="dxa"/>
          </w:tcPr>
          <w:p w14:paraId="11983C7C" w14:textId="77777777" w:rsidR="00FD0189" w:rsidRDefault="00000000">
            <w:pPr>
              <w:pStyle w:val="Compact"/>
              <w:jc w:val="center"/>
            </w:pPr>
            <w:bookmarkStart w:id="81" w:name="fig-4.2"/>
            <w:r>
              <w:rPr>
                <w:noProof/>
              </w:rPr>
              <w:lastRenderedPageBreak/>
              <w:drawing>
                <wp:inline distT="0" distB="0" distL="0" distR="0" wp14:anchorId="7C229C8F" wp14:editId="09955C15">
                  <wp:extent cx="3566160" cy="4075611"/>
                  <wp:effectExtent l="0" t="0" r="0" b="0"/>
                  <wp:docPr id="188" name="Picture" descr="Photo of an infected and an uninfected snail (with their shells removed)."/>
                  <wp:cNvGraphicFramePr/>
                  <a:graphic xmlns:a="http://schemas.openxmlformats.org/drawingml/2006/main">
                    <a:graphicData uri="http://schemas.openxmlformats.org/drawingml/2006/picture">
                      <pic:pic xmlns:pic="http://schemas.openxmlformats.org/drawingml/2006/picture">
                        <pic:nvPicPr>
                          <pic:cNvPr id="188" name="Picture" descr="Photo of an infected and an uninfected snail (with their shells removed)."/>
                          <pic:cNvPicPr>
                            <a:picLocks noChangeAspect="1" noChangeArrowheads="1"/>
                          </pic:cNvPicPr>
                        </pic:nvPicPr>
                        <pic:blipFill>
                          <a:blip r:embed="rId53"/>
                          <a:stretch>
                            <a:fillRect/>
                          </a:stretch>
                        </pic:blipFill>
                        <pic:spPr bwMode="auto">
                          <a:xfrm>
                            <a:off x="0" y="0"/>
                            <a:ext cx="3566160" cy="4075611"/>
                          </a:xfrm>
                          <a:prstGeom prst="rect">
                            <a:avLst/>
                          </a:prstGeom>
                          <a:noFill/>
                          <a:ln w="9525">
                            <a:noFill/>
                            <a:headEnd/>
                            <a:tailEnd/>
                          </a:ln>
                        </pic:spPr>
                      </pic:pic>
                    </a:graphicData>
                  </a:graphic>
                </wp:inline>
              </w:drawing>
            </w:r>
          </w:p>
          <w:p w14:paraId="18551DAB" w14:textId="77777777" w:rsidR="00FD0189" w:rsidRDefault="00000000">
            <w:pPr>
              <w:pStyle w:val="ImageCaption"/>
              <w:spacing w:before="200"/>
            </w:pPr>
            <w:r>
              <w:t xml:space="preserve">Figure 4.2: </w:t>
            </w:r>
            <w:r>
              <w:rPr>
                <w:b/>
                <w:bCs/>
              </w:rPr>
              <w:t>Photo Credit: © Gabe Harp. Used by permission.</w:t>
            </w:r>
            <w:r>
              <w:t xml:space="preserve"> Infected female (top) and uninfected female (bottom) of </w:t>
            </w:r>
            <w:r>
              <w:rPr>
                <w:i/>
                <w:iCs/>
              </w:rPr>
              <w:t xml:space="preserve">P. </w:t>
            </w:r>
            <w:proofErr w:type="spellStart"/>
            <w:r>
              <w:rPr>
                <w:i/>
                <w:iCs/>
              </w:rPr>
              <w:t>antipodarum</w:t>
            </w:r>
            <w:proofErr w:type="spellEnd"/>
            <w:r>
              <w:t xml:space="preserve">. The snails had been removed from their shells. The golden cysts in the infected female (top) are </w:t>
            </w:r>
            <w:r>
              <w:rPr>
                <w:i/>
                <w:iCs/>
              </w:rPr>
              <w:t>Microphallus</w:t>
            </w:r>
            <w:r>
              <w:t xml:space="preserve"> metacercaria. The white tissue of the uninfected female (bottom) is ovary.</w:t>
            </w:r>
          </w:p>
        </w:tc>
        <w:bookmarkEnd w:id="81"/>
      </w:tr>
    </w:tbl>
    <w:p w14:paraId="3C510EBF" w14:textId="77777777" w:rsidR="00FD0189" w:rsidRDefault="00000000">
      <w:pPr>
        <w:pStyle w:val="BodyText"/>
      </w:pPr>
      <w:r>
        <w:t xml:space="preserve">I set up an experiment in which I exposed snails from two different lakes to </w:t>
      </w:r>
      <w:r>
        <w:rPr>
          <w:i/>
          <w:iCs/>
        </w:rPr>
        <w:t>Microphallus</w:t>
      </w:r>
      <w:r>
        <w:t xml:space="preserve"> eggs from both lakes. One lake was on the east side of the Southern Alps (Lake Alexandrina), and the other lake was on the west side of the alps (Lake </w:t>
      </w:r>
      <w:proofErr w:type="spellStart"/>
      <w:r>
        <w:t>Mapourika</w:t>
      </w:r>
      <w:proofErr w:type="spellEnd"/>
      <w:r>
        <w:t>). I reasoned that gene flow between the two lakes was likely to be very low, so it seemed unlikely that gene flow could swamp out parasite-mediated selection (if present). But to get the eggs, I had to first complete the life cycle of the parasite in the lab. This had never been done. Eventually, I took the advice of Dr. David Blair, a friend and parasitologist at the University of Canterbury: I fed the cysts to lab mice. I then collected the mouse poo, washed it, and fed the slurry to snails. It seemed very unlikely to work, as ducks (not mice) were the vertebrate host, but I tried it anyway. It worked! I was able to experimentally infect snails in the lab. And, amazingly, the parasites from both lake populations were much more infective to snails from their same lake (</w:t>
      </w:r>
      <w:hyperlink w:anchor="fig-4.3">
        <w:r>
          <w:rPr>
            <w:rStyle w:val="Hyperlink"/>
          </w:rPr>
          <w:t>Figure 4.3</w:t>
        </w:r>
      </w:hyperlink>
      <w:r>
        <w:t xml:space="preserve">). In other words, the </w:t>
      </w:r>
      <w:r>
        <w:rPr>
          <w:i/>
          <w:iCs/>
        </w:rPr>
        <w:t>Microphallus</w:t>
      </w:r>
      <w:r>
        <w:t xml:space="preserve"> parasites were locally adapted (</w:t>
      </w:r>
      <w:hyperlink w:anchor="ref-lively1989a">
        <w:r>
          <w:rPr>
            <w:rStyle w:val="Hyperlink"/>
          </w:rPr>
          <w:t>Lively 1989</w:t>
        </w:r>
      </w:hyperlink>
      <w:r>
        <w:t>). There was no reason based on this experiment to discard the Red Queen.</w:t>
      </w:r>
    </w:p>
    <w:tbl>
      <w:tblPr>
        <w:tblStyle w:val="Table"/>
        <w:tblW w:w="5000" w:type="pct"/>
        <w:tblLayout w:type="fixed"/>
        <w:tblLook w:val="0000" w:firstRow="0" w:lastRow="0" w:firstColumn="0" w:lastColumn="0" w:noHBand="0" w:noVBand="0"/>
      </w:tblPr>
      <w:tblGrid>
        <w:gridCol w:w="9360"/>
      </w:tblGrid>
      <w:tr w:rsidR="00FD0189" w14:paraId="59023FA5" w14:textId="77777777">
        <w:tc>
          <w:tcPr>
            <w:tcW w:w="7920" w:type="dxa"/>
          </w:tcPr>
          <w:p w14:paraId="0CAF8AF5" w14:textId="77777777" w:rsidR="00FD0189" w:rsidRDefault="00000000">
            <w:pPr>
              <w:pStyle w:val="Compact"/>
              <w:jc w:val="center"/>
            </w:pPr>
            <w:bookmarkStart w:id="82" w:name="fig-4.3"/>
            <w:r>
              <w:rPr>
                <w:noProof/>
              </w:rPr>
              <w:lastRenderedPageBreak/>
              <w:drawing>
                <wp:inline distT="0" distB="0" distL="0" distR="0" wp14:anchorId="79D9CC27" wp14:editId="36F5489B">
                  <wp:extent cx="4457700" cy="2667137"/>
                  <wp:effectExtent l="0" t="0" r="0" b="0"/>
                  <wp:docPr id="192" name="Picture" descr="Results of the first reciprocal cross-inoculation experiment"/>
                  <wp:cNvGraphicFramePr/>
                  <a:graphic xmlns:a="http://schemas.openxmlformats.org/drawingml/2006/main">
                    <a:graphicData uri="http://schemas.openxmlformats.org/drawingml/2006/picture">
                      <pic:pic xmlns:pic="http://schemas.openxmlformats.org/drawingml/2006/picture">
                        <pic:nvPicPr>
                          <pic:cNvPr id="192" name="Picture" descr="Results of the first reciprocal cross-inoculation experiment"/>
                          <pic:cNvPicPr>
                            <a:picLocks noChangeAspect="1" noChangeArrowheads="1"/>
                          </pic:cNvPicPr>
                        </pic:nvPicPr>
                        <pic:blipFill>
                          <a:blip r:embed="rId54"/>
                          <a:stretch>
                            <a:fillRect/>
                          </a:stretch>
                        </pic:blipFill>
                        <pic:spPr bwMode="auto">
                          <a:xfrm>
                            <a:off x="0" y="0"/>
                            <a:ext cx="4457700" cy="2667137"/>
                          </a:xfrm>
                          <a:prstGeom prst="rect">
                            <a:avLst/>
                          </a:prstGeom>
                          <a:noFill/>
                          <a:ln w="9525">
                            <a:noFill/>
                            <a:headEnd/>
                            <a:tailEnd/>
                          </a:ln>
                        </pic:spPr>
                      </pic:pic>
                    </a:graphicData>
                  </a:graphic>
                </wp:inline>
              </w:drawing>
            </w:r>
          </w:p>
          <w:p w14:paraId="45729D1D" w14:textId="77777777" w:rsidR="00FD0189" w:rsidRDefault="00000000">
            <w:pPr>
              <w:pStyle w:val="ImageCaption"/>
              <w:spacing w:before="200"/>
            </w:pPr>
            <w:r>
              <w:t>Figure 4.3: Results of the first reciprocal cross-inoculation experiment. The vertical bars show one SE of the mean. Redrawn from Lively (</w:t>
            </w:r>
            <w:hyperlink w:anchor="ref-lively1989a">
              <w:r>
                <w:rPr>
                  <w:rStyle w:val="Hyperlink"/>
                </w:rPr>
                <w:t>1989</w:t>
              </w:r>
            </w:hyperlink>
            <w:r>
              <w:t>).</w:t>
            </w:r>
          </w:p>
        </w:tc>
        <w:bookmarkEnd w:id="82"/>
      </w:tr>
    </w:tbl>
    <w:p w14:paraId="46507C2D" w14:textId="77777777" w:rsidR="00FD0189" w:rsidRDefault="00000000">
      <w:pPr>
        <w:pStyle w:val="BodyText"/>
      </w:pPr>
      <w:r>
        <w:t xml:space="preserve">On the other hand, there were only two lakes in the experiment, so it was unclear if local adaptation was generally true for </w:t>
      </w:r>
      <w:r>
        <w:rPr>
          <w:i/>
          <w:iCs/>
        </w:rPr>
        <w:t>Microphallus</w:t>
      </w:r>
      <w:r>
        <w:t>. So, I repeated the experiment (</w:t>
      </w:r>
      <w:hyperlink w:anchor="ref-lively1989a">
        <w:r>
          <w:rPr>
            <w:rStyle w:val="Hyperlink"/>
          </w:rPr>
          <w:t>Lively 1989</w:t>
        </w:r>
      </w:hyperlink>
      <w:r>
        <w:t xml:space="preserve">). This time I sampled three lakes, all on the west side of the alps. Two of the lakes were less than ten kilometers apart (Lakes </w:t>
      </w:r>
      <w:proofErr w:type="spellStart"/>
      <w:r>
        <w:t>Mapourika</w:t>
      </w:r>
      <w:proofErr w:type="spellEnd"/>
      <w:r>
        <w:t xml:space="preserve"> and </w:t>
      </w:r>
      <w:proofErr w:type="spellStart"/>
      <w:r>
        <w:t>Wahapo</w:t>
      </w:r>
      <w:proofErr w:type="spellEnd"/>
      <w:r>
        <w:t xml:space="preserve">). The third lake (L. </w:t>
      </w:r>
      <w:proofErr w:type="spellStart"/>
      <w:r>
        <w:t>Paringa</w:t>
      </w:r>
      <w:proofErr w:type="spellEnd"/>
      <w:r>
        <w:t xml:space="preserve">) was about 100 kilometers south of Lake </w:t>
      </w:r>
      <w:proofErr w:type="spellStart"/>
      <w:r>
        <w:t>Mapourika</w:t>
      </w:r>
      <w:proofErr w:type="spellEnd"/>
      <w:r>
        <w:t xml:space="preserve"> (see map in Lively (</w:t>
      </w:r>
      <w:hyperlink w:anchor="ref-lively1989a">
        <w:r>
          <w:rPr>
            <w:rStyle w:val="Hyperlink"/>
          </w:rPr>
          <w:t>1989</w:t>
        </w:r>
      </w:hyperlink>
      <w:r>
        <w:t xml:space="preserve">)). It seemed likely to me that parasite gene flow would be very high between </w:t>
      </w:r>
      <w:proofErr w:type="spellStart"/>
      <w:r>
        <w:t>Mapourika</w:t>
      </w:r>
      <w:proofErr w:type="spellEnd"/>
      <w:r>
        <w:t xml:space="preserve"> and </w:t>
      </w:r>
      <w:proofErr w:type="spellStart"/>
      <w:r>
        <w:t>Wahapo</w:t>
      </w:r>
      <w:proofErr w:type="spellEnd"/>
      <w:r>
        <w:t>, which might reduce or eliminate local adaptation in the parasite. I exposed snails from all three lakes to parasites from each of the three lakes in a fully reciprocal cross-inoculation experiment. Again, the results were very clear: the parasites (following passage through mice) from all three lakes were more infective to host snails from the same lake (</w:t>
      </w:r>
      <w:hyperlink w:anchor="ref-lively1989a">
        <w:r>
          <w:rPr>
            <w:rStyle w:val="Hyperlink"/>
          </w:rPr>
          <w:t>Lively 1989</w:t>
        </w:r>
      </w:hyperlink>
      <w:r>
        <w:t>). And, to my surprise, the distance between lakes did not matter to the strength of local adaptation (</w:t>
      </w:r>
      <w:hyperlink w:anchor="fig-4.4">
        <w:r>
          <w:rPr>
            <w:rStyle w:val="Hyperlink"/>
          </w:rPr>
          <w:t>Figure 4.4</w:t>
        </w:r>
      </w:hyperlink>
      <w:r>
        <w:t>). Taken together the results from two independent experiments showed strong adaption by parasites to local populations of their snail host. The results also suggested a genetic basis for host resistance and parasite infectivity, which is a crucial assumption of the Red Queen Hypothesis. Finally, the pattern of local parasite adaptation in the snail-trematode system would be found to be very robust in experiments conducted by my students after I moved to Indiana University (</w:t>
      </w:r>
      <w:hyperlink w:anchor="fig-4.5">
        <w:r>
          <w:rPr>
            <w:rStyle w:val="Hyperlink"/>
          </w:rPr>
          <w:t>Figure 4.5</w:t>
        </w:r>
      </w:hyperlink>
      <w:r>
        <w:t>).</w:t>
      </w:r>
    </w:p>
    <w:tbl>
      <w:tblPr>
        <w:tblStyle w:val="Table"/>
        <w:tblW w:w="5000" w:type="pct"/>
        <w:tblLayout w:type="fixed"/>
        <w:tblLook w:val="0000" w:firstRow="0" w:lastRow="0" w:firstColumn="0" w:lastColumn="0" w:noHBand="0" w:noVBand="0"/>
      </w:tblPr>
      <w:tblGrid>
        <w:gridCol w:w="9360"/>
      </w:tblGrid>
      <w:tr w:rsidR="00FD0189" w14:paraId="46DA5C1B" w14:textId="77777777">
        <w:tc>
          <w:tcPr>
            <w:tcW w:w="7920" w:type="dxa"/>
          </w:tcPr>
          <w:p w14:paraId="18B89F05" w14:textId="77777777" w:rsidR="00FD0189" w:rsidRDefault="00000000">
            <w:pPr>
              <w:pStyle w:val="Compact"/>
              <w:jc w:val="center"/>
            </w:pPr>
            <w:bookmarkStart w:id="83" w:name="fig-4.4"/>
            <w:r>
              <w:rPr>
                <w:noProof/>
              </w:rPr>
              <w:lastRenderedPageBreak/>
              <w:drawing>
                <wp:inline distT="0" distB="0" distL="0" distR="0" wp14:anchorId="675BE0F2" wp14:editId="4517642B">
                  <wp:extent cx="4457700" cy="2622489"/>
                  <wp:effectExtent l="0" t="0" r="0" b="0"/>
                  <wp:docPr id="196" name="Picture" descr="Data visualization showing the results of the second reciprocal cross-infection experiment using host and parasites from three different lakes. These results also show strong local adaptation."/>
                  <wp:cNvGraphicFramePr/>
                  <a:graphic xmlns:a="http://schemas.openxmlformats.org/drawingml/2006/main">
                    <a:graphicData uri="http://schemas.openxmlformats.org/drawingml/2006/picture">
                      <pic:pic xmlns:pic="http://schemas.openxmlformats.org/drawingml/2006/picture">
                        <pic:nvPicPr>
                          <pic:cNvPr id="196" name="Picture" descr="Data visualization showing the results of the second reciprocal cross-infection experiment using host and parasites from three different lakes. These results also show strong local adaptation."/>
                          <pic:cNvPicPr>
                            <a:picLocks noChangeAspect="1" noChangeArrowheads="1"/>
                          </pic:cNvPicPr>
                        </pic:nvPicPr>
                        <pic:blipFill>
                          <a:blip r:embed="rId55"/>
                          <a:stretch>
                            <a:fillRect/>
                          </a:stretch>
                        </pic:blipFill>
                        <pic:spPr bwMode="auto">
                          <a:xfrm>
                            <a:off x="0" y="0"/>
                            <a:ext cx="4457700" cy="2622489"/>
                          </a:xfrm>
                          <a:prstGeom prst="rect">
                            <a:avLst/>
                          </a:prstGeom>
                          <a:noFill/>
                          <a:ln w="9525">
                            <a:noFill/>
                            <a:headEnd/>
                            <a:tailEnd/>
                          </a:ln>
                        </pic:spPr>
                      </pic:pic>
                    </a:graphicData>
                  </a:graphic>
                </wp:inline>
              </w:drawing>
            </w:r>
          </w:p>
          <w:p w14:paraId="7DB94008" w14:textId="77777777" w:rsidR="00FD0189" w:rsidRDefault="00000000">
            <w:pPr>
              <w:pStyle w:val="ImageCaption"/>
              <w:spacing w:before="200"/>
            </w:pPr>
            <w:r>
              <w:t>Figure 4.4: Results of the second reciprocal cross-inoculation experiment. Vertical bars show one SE of the mean. Redrawn from Lively (</w:t>
            </w:r>
            <w:hyperlink w:anchor="ref-lively1989a">
              <w:r>
                <w:rPr>
                  <w:rStyle w:val="Hyperlink"/>
                </w:rPr>
                <w:t>1989</w:t>
              </w:r>
            </w:hyperlink>
            <w:r>
              <w:t>).</w:t>
            </w:r>
          </w:p>
        </w:tc>
        <w:bookmarkEnd w:id="83"/>
      </w:tr>
    </w:tbl>
    <w:p w14:paraId="420C528C" w14:textId="77777777" w:rsidR="00FD0189" w:rsidRDefault="00000000">
      <w:pPr>
        <w:pStyle w:val="BodyText"/>
      </w:pPr>
      <w:r>
        <w:t>Does local adaptation by parasites mean that hosts are losing? If so, are hosts maladapted, as often claimed? No and no. The host population is evolving as fast as it can to resist infection by local parasites, and local parasites are tracking the genetic changes in their host populations (with a time lag). This tracking by parasites results in local adaption. In computer simulations, the change in host mean fitness oscillates over time from positive to negative and back. Parasite mean fitness also oscillates from positive to negative, but it is 180 degrees out of phase with the host (</w:t>
      </w:r>
      <w:hyperlink w:anchor="ref-lively1999a">
        <w:r>
          <w:rPr>
            <w:rStyle w:val="Hyperlink"/>
          </w:rPr>
          <w:t>Lively 1999b</w:t>
        </w:r>
      </w:hyperlink>
      <w:r>
        <w:t xml:space="preserve">; </w:t>
      </w:r>
      <w:hyperlink w:anchor="ref-lively2022a">
        <w:r>
          <w:rPr>
            <w:rStyle w:val="Hyperlink"/>
          </w:rPr>
          <w:t>Lively &amp; Wade 2022</w:t>
        </w:r>
      </w:hyperlink>
      <w:r>
        <w:t>). Thus, local parasite adaptation does not necessarily mean that the hosts are losing. Sometimes the host is winning (positive change in mean fitness</w:t>
      </w:r>
      <w:proofErr w:type="gramStart"/>
      <w:r>
        <w:t>)</w:t>
      </w:r>
      <w:proofErr w:type="gramEnd"/>
      <w:r>
        <w:t xml:space="preserve"> and the parasite is losing (negative change in mean fitness), and sometimes the host is losing and the parasite is winning. Over time, the average change in mean fitness for both species is zero.</w:t>
      </w:r>
    </w:p>
    <w:p w14:paraId="6DC79D6C" w14:textId="77777777" w:rsidR="00FD0189" w:rsidRDefault="00000000">
      <w:pPr>
        <w:pStyle w:val="BodyText"/>
      </w:pPr>
      <w:r>
        <w:t>My early results on local adaptation along with the results of Parker (</w:t>
      </w:r>
      <w:hyperlink w:anchor="ref-parker1985a">
        <w:r>
          <w:rPr>
            <w:rStyle w:val="Hyperlink"/>
          </w:rPr>
          <w:t>1985</w:t>
        </w:r>
      </w:hyperlink>
      <w:r>
        <w:t>) and Ebert (</w:t>
      </w:r>
      <w:hyperlink w:anchor="ref-ebert1994a">
        <w:r>
          <w:rPr>
            <w:rStyle w:val="Hyperlink"/>
          </w:rPr>
          <w:t>1994</w:t>
        </w:r>
      </w:hyperlink>
      <w:r>
        <w:t>) convinced me that host-parasite coevolution was interesting, whether or not it could explain sex.</w:t>
      </w:r>
      <w:r>
        <w:rPr>
          <w:rStyle w:val="FootnoteReference"/>
        </w:rPr>
        <w:footnoteReference w:id="43"/>
      </w:r>
      <w:r>
        <w:t xml:space="preserve"> In addition, May and Anderson (</w:t>
      </w:r>
      <w:hyperlink w:anchor="ref-may1983a">
        <w:r>
          <w:rPr>
            <w:rStyle w:val="Hyperlink"/>
          </w:rPr>
          <w:t>1983</w:t>
        </w:r>
      </w:hyperlink>
      <w:r>
        <w:t xml:space="preserve">) had already ignited a general interest in parasites. They showed that, contrary to conventional wisdom, parasites would evolve to maximize their own rates of transmission without any “consideration” for the well-being of their hosts. This work, combined with Hamilton and </w:t>
      </w:r>
      <w:proofErr w:type="spellStart"/>
      <w:r>
        <w:t>Zuk’s</w:t>
      </w:r>
      <w:proofErr w:type="spellEnd"/>
      <w:r>
        <w:t xml:space="preserve"> model of parasite-mediated mate choice, along with Hamilton’s models on parasite-mediated selection for sex, lit up the field (</w:t>
      </w:r>
      <w:hyperlink w:anchor="ref-hamilton1980a">
        <w:r>
          <w:rPr>
            <w:rStyle w:val="Hyperlink"/>
          </w:rPr>
          <w:t>Hamilton 1980</w:t>
        </w:r>
      </w:hyperlink>
      <w:r>
        <w:t xml:space="preserve">; </w:t>
      </w:r>
      <w:hyperlink w:anchor="ref-hamilton1982a">
        <w:r>
          <w:rPr>
            <w:rStyle w:val="Hyperlink"/>
          </w:rPr>
          <w:t xml:space="preserve">Hamilton &amp; </w:t>
        </w:r>
        <w:proofErr w:type="spellStart"/>
        <w:r>
          <w:rPr>
            <w:rStyle w:val="Hyperlink"/>
          </w:rPr>
          <w:t>Zuk</w:t>
        </w:r>
        <w:proofErr w:type="spellEnd"/>
        <w:r>
          <w:rPr>
            <w:rStyle w:val="Hyperlink"/>
          </w:rPr>
          <w:t xml:space="preserve"> 1982</w:t>
        </w:r>
      </w:hyperlink>
      <w:r>
        <w:t>). Fascinating work by Janice Moore (</w:t>
      </w:r>
      <w:hyperlink w:anchor="ref-moore1984a">
        <w:r>
          <w:rPr>
            <w:rStyle w:val="Hyperlink"/>
          </w:rPr>
          <w:t>1984</w:t>
        </w:r>
      </w:hyperlink>
      <w:r>
        <w:t>) on the evolution of parasite-mediated modifications of host behavior piled on. In addition, Hudson et al. (</w:t>
      </w:r>
      <w:hyperlink w:anchor="ref-hudson1998a">
        <w:r>
          <w:rPr>
            <w:rStyle w:val="Hyperlink"/>
          </w:rPr>
          <w:t>1998</w:t>
        </w:r>
      </w:hyperlink>
      <w:r>
        <w:t xml:space="preserve">) rocked the ecological world with an experiment showing that oscillations in Red Grouse densities were </w:t>
      </w:r>
      <w:r>
        <w:lastRenderedPageBreak/>
        <w:t>controlled by nematode infections. Parasites were now on the map. An emerging new field called “ecology and evolution of infectious disease” was taking flight.</w:t>
      </w:r>
    </w:p>
    <w:tbl>
      <w:tblPr>
        <w:tblStyle w:val="Table"/>
        <w:tblW w:w="5000" w:type="pct"/>
        <w:tblLayout w:type="fixed"/>
        <w:tblLook w:val="0000" w:firstRow="0" w:lastRow="0" w:firstColumn="0" w:lastColumn="0" w:noHBand="0" w:noVBand="0"/>
      </w:tblPr>
      <w:tblGrid>
        <w:gridCol w:w="9360"/>
      </w:tblGrid>
      <w:tr w:rsidR="00FD0189" w14:paraId="6889B985" w14:textId="77777777">
        <w:tc>
          <w:tcPr>
            <w:tcW w:w="7920" w:type="dxa"/>
          </w:tcPr>
          <w:p w14:paraId="1DEF2CE6" w14:textId="77777777" w:rsidR="00FD0189" w:rsidRDefault="00000000">
            <w:pPr>
              <w:pStyle w:val="Compact"/>
              <w:jc w:val="center"/>
            </w:pPr>
            <w:bookmarkStart w:id="84" w:name="fig-4.5"/>
            <w:r>
              <w:rPr>
                <w:noProof/>
              </w:rPr>
              <w:drawing>
                <wp:inline distT="0" distB="0" distL="0" distR="0" wp14:anchorId="64A3A653" wp14:editId="1C27A862">
                  <wp:extent cx="3566160" cy="3620192"/>
                  <wp:effectExtent l="0" t="0" r="0" b="0"/>
                  <wp:docPr id="201" name="Picture" descr="Data visualization showing the results of a meta-analysis across 32 comparisons showing very general parasite local adaptation."/>
                  <wp:cNvGraphicFramePr/>
                  <a:graphic xmlns:a="http://schemas.openxmlformats.org/drawingml/2006/main">
                    <a:graphicData uri="http://schemas.openxmlformats.org/drawingml/2006/picture">
                      <pic:pic xmlns:pic="http://schemas.openxmlformats.org/drawingml/2006/picture">
                        <pic:nvPicPr>
                          <pic:cNvPr id="201" name="Picture" descr="Data visualization showing the results of a meta-analysis across 32 comparisons showing very general parasite local adaptation."/>
                          <pic:cNvPicPr>
                            <a:picLocks noChangeAspect="1" noChangeArrowheads="1"/>
                          </pic:cNvPicPr>
                        </pic:nvPicPr>
                        <pic:blipFill>
                          <a:blip r:embed="rId56"/>
                          <a:stretch>
                            <a:fillRect/>
                          </a:stretch>
                        </pic:blipFill>
                        <pic:spPr bwMode="auto">
                          <a:xfrm>
                            <a:off x="0" y="0"/>
                            <a:ext cx="3566160" cy="3620192"/>
                          </a:xfrm>
                          <a:prstGeom prst="rect">
                            <a:avLst/>
                          </a:prstGeom>
                          <a:noFill/>
                          <a:ln w="9525">
                            <a:noFill/>
                            <a:headEnd/>
                            <a:tailEnd/>
                          </a:ln>
                        </pic:spPr>
                      </pic:pic>
                    </a:graphicData>
                  </a:graphic>
                </wp:inline>
              </w:drawing>
            </w:r>
          </w:p>
          <w:p w14:paraId="7B9A4659" w14:textId="77777777" w:rsidR="00FD0189" w:rsidRDefault="00000000">
            <w:pPr>
              <w:pStyle w:val="ImageCaption"/>
              <w:spacing w:before="200"/>
            </w:pPr>
            <w:r>
              <w:t xml:space="preserve">Figure 4.5: Results from a meta-analysis of local adaption experiments. The “effect size” depends on the magnitude of the difference between the proportion of infection in sympatric versus allopatric hosts, where positive values indicate that the parasite is adapted to infecting snails from the local host population. Large effect sizes are indicative of stronger local adaptation by parasites. Positive effect sizes are shown in blue; negative effect sizes are shown in red. A statistical test on the effect sizes showed that, in general, the parasite is strongly adapted to infecting local populations of its host. There were 32 total sympatric/allopatric comparisons. (Redrawn from </w:t>
            </w:r>
            <w:hyperlink w:anchor="ref-lively2004a">
              <w:r>
                <w:rPr>
                  <w:rStyle w:val="Hyperlink"/>
                </w:rPr>
                <w:t xml:space="preserve">Lively </w:t>
              </w:r>
              <w:r>
                <w:rPr>
                  <w:rStyle w:val="Hyperlink"/>
                  <w:i/>
                  <w:iCs/>
                </w:rPr>
                <w:t>et al.</w:t>
              </w:r>
              <w:r>
                <w:rPr>
                  <w:rStyle w:val="Hyperlink"/>
                </w:rPr>
                <w:t xml:space="preserve"> 2004</w:t>
              </w:r>
            </w:hyperlink>
            <w:r>
              <w:t>).</w:t>
            </w:r>
          </w:p>
        </w:tc>
        <w:bookmarkEnd w:id="84"/>
      </w:tr>
    </w:tbl>
    <w:p w14:paraId="069F0075" w14:textId="77777777" w:rsidR="00FD0189" w:rsidRDefault="00000000">
      <w:pPr>
        <w:pStyle w:val="Heading2"/>
      </w:pPr>
      <w:bookmarkStart w:id="85" w:name="self--non-self-recognition"/>
      <w:bookmarkStart w:id="86" w:name="_Toc159248507"/>
      <w:bookmarkEnd w:id="78"/>
      <w:r>
        <w:t>4.2 Self- / Non-Self-Recognition</w:t>
      </w:r>
      <w:bookmarkEnd w:id="86"/>
    </w:p>
    <w:p w14:paraId="1CE13384" w14:textId="77777777" w:rsidR="00FD0189" w:rsidRDefault="00000000">
      <w:pPr>
        <w:pStyle w:val="FirstParagraph"/>
      </w:pPr>
      <w:r>
        <w:t>In my presentation thus far, I have been assuming that the molecules on the cell surfaces of parasites must mimic host molecules to evade detection. Otherwise, the parasites will be identified as foreign and killed by the host. In other words, there is a self- / non-self-recognition system in hosts, which is determined by a polymorphic set of alleles at one or more loci.</w:t>
      </w:r>
    </w:p>
    <w:p w14:paraId="06820C79" w14:textId="77777777" w:rsidR="00FD0189" w:rsidRDefault="00000000">
      <w:pPr>
        <w:pStyle w:val="BodyText"/>
      </w:pPr>
      <w:r>
        <w:t>Where did this idea for self- / non-self-recognition come from? I am embarrassed to say that I did not know before writing this chapter, and I am still not exactly sure, but the idea goes back at least to Sir Frank McFarland Burnet, who was cowinner of the 1960 Nobel Prize in Physiology and Medicine (with Sir Peter Medawar). Burnet was reviewing two studies, which showed recognition and rejection of genetically different competitors of the same species (</w:t>
      </w:r>
      <w:hyperlink w:anchor="ref-burnet1971a">
        <w:r>
          <w:rPr>
            <w:rStyle w:val="Hyperlink"/>
          </w:rPr>
          <w:t>Burnet 1971</w:t>
        </w:r>
      </w:hyperlink>
      <w:r>
        <w:t xml:space="preserve">). The first study was from </w:t>
      </w:r>
      <w:proofErr w:type="spellStart"/>
      <w:r>
        <w:t>Hidemiti</w:t>
      </w:r>
      <w:proofErr w:type="spellEnd"/>
      <w:r>
        <w:t xml:space="preserve"> Oka (</w:t>
      </w:r>
      <w:hyperlink w:anchor="ref-oka1970a">
        <w:r>
          <w:rPr>
            <w:rStyle w:val="Hyperlink"/>
          </w:rPr>
          <w:t>1970</w:t>
        </w:r>
      </w:hyperlink>
      <w:r>
        <w:t xml:space="preserve">): “Here I shall explore the possibility that Oka’s </w:t>
      </w:r>
      <w:r>
        <w:lastRenderedPageBreak/>
        <w:t>(</w:t>
      </w:r>
      <w:hyperlink w:anchor="ref-oka1970a">
        <w:r>
          <w:rPr>
            <w:rStyle w:val="Hyperlink"/>
          </w:rPr>
          <w:t>1970</w:t>
        </w:r>
      </w:hyperlink>
      <w:r>
        <w:t>) studies of colonial tunicates (</w:t>
      </w:r>
      <w:r>
        <w:rPr>
          <w:i/>
          <w:iCs/>
        </w:rPr>
        <w:t>Botryllus</w:t>
      </w:r>
      <w:r>
        <w:t xml:space="preserve">) … may throw light on primitive types of ‘self and not-self’ recognition from which adaptive immunity may have evolved.” </w:t>
      </w:r>
      <w:proofErr w:type="spellStart"/>
      <w:r>
        <w:t>Hidemiti</w:t>
      </w:r>
      <w:proofErr w:type="spellEnd"/>
      <w:r>
        <w:t xml:space="preserve"> Oka was a Japanese professor of biology in Tokyo. He was following up on a pioneering study by Bancroft (</w:t>
      </w:r>
      <w:hyperlink w:anchor="ref-bancroft1903a">
        <w:r>
          <w:rPr>
            <w:rStyle w:val="Hyperlink"/>
          </w:rPr>
          <w:t>1903</w:t>
        </w:r>
      </w:hyperlink>
      <w:r>
        <w:t>), who had shown that fragments from related colonies of a compound ascidian (</w:t>
      </w:r>
      <w:r>
        <w:rPr>
          <w:i/>
          <w:iCs/>
        </w:rPr>
        <w:t xml:space="preserve">Botryllus </w:t>
      </w:r>
      <w:proofErr w:type="spellStart"/>
      <w:r>
        <w:rPr>
          <w:i/>
          <w:iCs/>
        </w:rPr>
        <w:t>schlosseri</w:t>
      </w:r>
      <w:proofErr w:type="spellEnd"/>
      <w:r>
        <w:t>) readily fused, whereas fragments from unrelated colonies rejected each other. Oka’s goal was to understand the genetic basis for this fusion/rejection. His study suggested that fusion was determined by multiple alleles (“perhaps several scores”) at a single locus. More specifically, Oka’s results suggested that fusion occurred between different colonies only if they shared at least one allele at this locus.</w:t>
      </w:r>
      <w:r>
        <w:rPr>
          <w:rStyle w:val="FootnoteReference"/>
        </w:rPr>
        <w:footnoteReference w:id="44"/>
      </w:r>
      <w:r>
        <w:t xml:space="preserve"> To my mind, this was a major finding.</w:t>
      </w:r>
    </w:p>
    <w:p w14:paraId="4625364E" w14:textId="77777777" w:rsidR="00FD0189" w:rsidRDefault="00000000">
      <w:pPr>
        <w:pStyle w:val="BodyText"/>
      </w:pPr>
      <w:r>
        <w:t>It thus appears that Oka was inspired by Bancroft, and Burnet was inspired by Oka. How does Burnet fit in? Burnet first accepts Oka’s assumption that allorecognition depends on a single highly polymorphic locus (</w:t>
      </w:r>
      <w:hyperlink w:anchor="fig-4.6">
        <w:r>
          <w:rPr>
            <w:rStyle w:val="Hyperlink"/>
          </w:rPr>
          <w:t>Figure 4.6</w:t>
        </w:r>
      </w:hyperlink>
      <w:r>
        <w:t>): “To summarize Oka’s work, it is convenient to accept his assumption, which is validated by much preliminary work, that fusion or rejection between colonies depends on a single locus with many alleles which can be referred to as recognition genes.” Burnet then suggests that this same mechanism could be co-opted as a defense against parasites and that such a mechanism could be the progenitor of the more sophisticated adaptive immune system in vertebrates. Burnet (</w:t>
      </w:r>
      <w:hyperlink w:anchor="ref-burnet1971a">
        <w:r>
          <w:rPr>
            <w:rStyle w:val="Hyperlink"/>
          </w:rPr>
          <w:t>1971</w:t>
        </w:r>
      </w:hyperlink>
      <w:r>
        <w:t>) writes:</w:t>
      </w:r>
    </w:p>
    <w:p w14:paraId="1CA11898" w14:textId="77777777" w:rsidR="00FD0189" w:rsidRDefault="00000000">
      <w:pPr>
        <w:pStyle w:val="BlockText"/>
      </w:pPr>
      <w:r>
        <w:t xml:space="preserve">It is probably unwise to attempt to imagine the various steps by which such changes could be made. One can foresee a period of great research activity in these fields of tissue fusion and rejection in invertebrates and protochordates during the next decade. Undoubtedly a variety of intriguing phenomena will be uncovered, differing from group to group. Some may be further along the road toward adaptive immunity than the colonial ascidians. Much more extensive comparative studies are called for and in due course analysis of the results should allow a clear evolutionary history to emerge. Whatever form that history eventually takes we can be certain that gene duplication (gene expansion) plays a major part, and that progressive specialization of cell function and phenotypic restriction will be as conspicuous as it is in all other organs and functions. </w:t>
      </w:r>
      <w:r>
        <w:rPr>
          <w:b/>
          <w:bCs/>
        </w:rPr>
        <w:t xml:space="preserve">Copyright © 1971, </w:t>
      </w:r>
      <w:r>
        <w:rPr>
          <w:b/>
          <w:bCs/>
          <w:i/>
          <w:iCs/>
        </w:rPr>
        <w:t>Springer Nature Limited</w:t>
      </w:r>
    </w:p>
    <w:p w14:paraId="6B3932EB" w14:textId="77777777" w:rsidR="00FD0189" w:rsidRDefault="00000000">
      <w:pPr>
        <w:pStyle w:val="FirstParagraph"/>
      </w:pPr>
      <w:r>
        <w:t>Wow. In retrospect, Burnet’s “attempt to imagine the various steps” does not seem at all unwise. Importantly, he suggests that infection occurs when parasites have alleles that match their host’s genotype. Otherwise, the parasites are killed. This is the logic of what will later be called the “matching alleles model” for infection.</w:t>
      </w:r>
    </w:p>
    <w:tbl>
      <w:tblPr>
        <w:tblStyle w:val="Table"/>
        <w:tblW w:w="5000" w:type="pct"/>
        <w:tblLayout w:type="fixed"/>
        <w:tblLook w:val="0000" w:firstRow="0" w:lastRow="0" w:firstColumn="0" w:lastColumn="0" w:noHBand="0" w:noVBand="0"/>
      </w:tblPr>
      <w:tblGrid>
        <w:gridCol w:w="9360"/>
      </w:tblGrid>
      <w:tr w:rsidR="00FD0189" w14:paraId="4884198E" w14:textId="77777777">
        <w:tc>
          <w:tcPr>
            <w:tcW w:w="7920" w:type="dxa"/>
          </w:tcPr>
          <w:p w14:paraId="0C6347F4" w14:textId="77777777" w:rsidR="00FD0189" w:rsidRDefault="00000000">
            <w:pPr>
              <w:pStyle w:val="Compact"/>
              <w:jc w:val="center"/>
            </w:pPr>
            <w:bookmarkStart w:id="87" w:name="fig-4.6"/>
            <w:r>
              <w:rPr>
                <w:noProof/>
              </w:rPr>
              <w:lastRenderedPageBreak/>
              <w:drawing>
                <wp:inline distT="0" distB="0" distL="0" distR="0" wp14:anchorId="64691B43" wp14:editId="42384966">
                  <wp:extent cx="3268980" cy="3411614"/>
                  <wp:effectExtent l="0" t="0" r="0" b="0"/>
                  <wp:docPr id="207" name="Picture" descr="A diagram of self- / non-self-recognition in which the top two drawings show fusion of tunicate colonies that share one or more alleles at a recognition locus, while the bottom drawing shows that colonies do not fuse if they have no alleles in common."/>
                  <wp:cNvGraphicFramePr/>
                  <a:graphic xmlns:a="http://schemas.openxmlformats.org/drawingml/2006/main">
                    <a:graphicData uri="http://schemas.openxmlformats.org/drawingml/2006/picture">
                      <pic:pic xmlns:pic="http://schemas.openxmlformats.org/drawingml/2006/picture">
                        <pic:nvPicPr>
                          <pic:cNvPr id="207" name="Picture" descr="A diagram of self- / non-self-recognition in which the top two drawings show fusion of tunicate colonies that share one or more alleles at a recognition locus, while the bottom drawing shows that colonies do not fuse if they have no alleles in common."/>
                          <pic:cNvPicPr>
                            <a:picLocks noChangeAspect="1" noChangeArrowheads="1"/>
                          </pic:cNvPicPr>
                        </pic:nvPicPr>
                        <pic:blipFill>
                          <a:blip r:embed="rId57"/>
                          <a:stretch>
                            <a:fillRect/>
                          </a:stretch>
                        </pic:blipFill>
                        <pic:spPr bwMode="auto">
                          <a:xfrm>
                            <a:off x="0" y="0"/>
                            <a:ext cx="3268980" cy="3411614"/>
                          </a:xfrm>
                          <a:prstGeom prst="rect">
                            <a:avLst/>
                          </a:prstGeom>
                          <a:noFill/>
                          <a:ln w="9525">
                            <a:noFill/>
                            <a:headEnd/>
                            <a:tailEnd/>
                          </a:ln>
                        </pic:spPr>
                      </pic:pic>
                    </a:graphicData>
                  </a:graphic>
                </wp:inline>
              </w:drawing>
            </w:r>
          </w:p>
          <w:p w14:paraId="57CC0261" w14:textId="77777777" w:rsidR="00FD0189" w:rsidRDefault="00000000">
            <w:pPr>
              <w:pStyle w:val="ImageCaption"/>
              <w:spacing w:before="200"/>
            </w:pPr>
            <w:r>
              <w:t>Figure 4.6: A model for self- / non-self-recognition (</w:t>
            </w:r>
            <w:hyperlink w:anchor="ref-burnet1971a">
              <w:r>
                <w:rPr>
                  <w:rStyle w:val="Hyperlink"/>
                </w:rPr>
                <w:t>Burnet 1971</w:t>
              </w:r>
            </w:hyperlink>
            <w:r>
              <w:t xml:space="preserve">; </w:t>
            </w:r>
            <w:hyperlink w:anchor="ref-oka1970a">
              <w:r>
                <w:rPr>
                  <w:rStyle w:val="Hyperlink"/>
                </w:rPr>
                <w:t>Oka 1970</w:t>
              </w:r>
            </w:hyperlink>
            <w:r>
              <w:t>). Cells sharing one or more alleles can rejoin after separation, as the receptors match. In contrast, cells that do not share an allele do not match and will not rejoin. Regions of fusion are shown in heavy lines. Burnett suggested that resistance in host-parasite interactions could have a similar mechanistic framework. Note that Burnett used “reciprocal” for matching cells with at least one matching allele, and “non-reciprocal” for cells in which none of the alleles matched. Redrawn from Burnet (</w:t>
            </w:r>
            <w:hyperlink w:anchor="ref-burnet1971a">
              <w:r>
                <w:rPr>
                  <w:rStyle w:val="Hyperlink"/>
                </w:rPr>
                <w:t>1971</w:t>
              </w:r>
            </w:hyperlink>
            <w:r>
              <w:t xml:space="preserve">) by Zoe M </w:t>
            </w:r>
            <w:proofErr w:type="spellStart"/>
            <w:r>
              <w:t>Dinges</w:t>
            </w:r>
            <w:proofErr w:type="spellEnd"/>
            <w:r>
              <w:t>.</w:t>
            </w:r>
          </w:p>
        </w:tc>
        <w:bookmarkEnd w:id="87"/>
      </w:tr>
    </w:tbl>
    <w:p w14:paraId="0ED54005" w14:textId="77777777" w:rsidR="00FD0189" w:rsidRDefault="00000000">
      <w:pPr>
        <w:pStyle w:val="Heading2"/>
      </w:pPr>
      <w:bookmarkStart w:id="88" w:name="summary-3"/>
      <w:bookmarkStart w:id="89" w:name="_Toc159248508"/>
      <w:bookmarkEnd w:id="85"/>
      <w:r>
        <w:t>4.3 Summary</w:t>
      </w:r>
      <w:bookmarkEnd w:id="89"/>
    </w:p>
    <w:p w14:paraId="2605B4B8" w14:textId="77777777" w:rsidR="00FD0189" w:rsidRDefault="00000000">
      <w:pPr>
        <w:pStyle w:val="Compact"/>
        <w:numPr>
          <w:ilvl w:val="0"/>
          <w:numId w:val="33"/>
        </w:numPr>
      </w:pPr>
      <w:r>
        <w:t xml:space="preserve">The most common trematode infection in lake populations of </w:t>
      </w:r>
      <w:r>
        <w:rPr>
          <w:i/>
          <w:iCs/>
        </w:rPr>
        <w:t xml:space="preserve">P. </w:t>
      </w:r>
      <w:proofErr w:type="spellStart"/>
      <w:r>
        <w:rPr>
          <w:i/>
          <w:iCs/>
        </w:rPr>
        <w:t>antipodarum</w:t>
      </w:r>
      <w:proofErr w:type="spellEnd"/>
      <w:r>
        <w:t xml:space="preserve"> is caused by a larval stage of </w:t>
      </w:r>
      <w:r>
        <w:rPr>
          <w:i/>
          <w:iCs/>
        </w:rPr>
        <w:t>Microphallus</w:t>
      </w:r>
      <w:r>
        <w:t xml:space="preserve"> sp. (recently renamed to </w:t>
      </w:r>
      <w:proofErr w:type="spellStart"/>
      <w:r>
        <w:rPr>
          <w:i/>
          <w:iCs/>
        </w:rPr>
        <w:t>Atriophallophorus</w:t>
      </w:r>
      <w:proofErr w:type="spellEnd"/>
      <w:r>
        <w:rPr>
          <w:i/>
          <w:iCs/>
        </w:rPr>
        <w:t xml:space="preserve"> </w:t>
      </w:r>
      <w:proofErr w:type="spellStart"/>
      <w:r>
        <w:rPr>
          <w:i/>
          <w:iCs/>
        </w:rPr>
        <w:t>winterbourni</w:t>
      </w:r>
      <w:proofErr w:type="spellEnd"/>
      <w:r>
        <w:t>). The trematode has a two-host life cycle (snails and waterfowl).</w:t>
      </w:r>
    </w:p>
    <w:p w14:paraId="43F2B376" w14:textId="77777777" w:rsidR="00FD0189" w:rsidRDefault="00000000">
      <w:pPr>
        <w:pStyle w:val="Compact"/>
        <w:numPr>
          <w:ilvl w:val="0"/>
          <w:numId w:val="33"/>
        </w:numPr>
      </w:pPr>
      <w:r>
        <w:t xml:space="preserve">Experimental cross-inoculation experiments showed that </w:t>
      </w:r>
      <w:r>
        <w:rPr>
          <w:i/>
          <w:iCs/>
        </w:rPr>
        <w:t>Microphallus</w:t>
      </w:r>
      <w:r>
        <w:t xml:space="preserve"> is more infectious to local lake populations of its snail host, </w:t>
      </w:r>
      <w:r>
        <w:rPr>
          <w:i/>
          <w:iCs/>
        </w:rPr>
        <w:t xml:space="preserve">P. </w:t>
      </w:r>
      <w:proofErr w:type="spellStart"/>
      <w:r>
        <w:rPr>
          <w:i/>
          <w:iCs/>
        </w:rPr>
        <w:t>antipodarum</w:t>
      </w:r>
      <w:proofErr w:type="spellEnd"/>
      <w:r>
        <w:t>, than to remote host populations.</w:t>
      </w:r>
    </w:p>
    <w:p w14:paraId="50DB8DAF" w14:textId="77777777" w:rsidR="00FD0189" w:rsidRDefault="00000000">
      <w:pPr>
        <w:pStyle w:val="Compact"/>
        <w:numPr>
          <w:ilvl w:val="0"/>
          <w:numId w:val="33"/>
        </w:numPr>
      </w:pPr>
      <w:r>
        <w:t>These results suggest that some kind of match by the parasite to the host is required for infection. This idea of matching is consistent with the idea of self- / non-self-recognition as the basis for immune defense. The gist of the original idea stems from experimental studies of colony fusion in tunicates.</w:t>
      </w:r>
    </w:p>
    <w:p w14:paraId="11D747EC" w14:textId="77777777" w:rsidR="00FD0189" w:rsidRDefault="00000000">
      <w:pPr>
        <w:pStyle w:val="Heading1"/>
      </w:pPr>
      <w:bookmarkStart w:id="90" w:name="sec-gyno"/>
      <w:bookmarkStart w:id="91" w:name="_Toc159248509"/>
      <w:bookmarkEnd w:id="76"/>
      <w:bookmarkEnd w:id="88"/>
      <w:r>
        <w:lastRenderedPageBreak/>
        <w:t>5. Gynogenetic Fish</w:t>
      </w:r>
      <w:bookmarkEnd w:id="91"/>
    </w:p>
    <w:p w14:paraId="0AEED7F1" w14:textId="77777777" w:rsidR="00FD0189" w:rsidRDefault="00000000">
      <w:pPr>
        <w:pStyle w:val="FirstParagraph"/>
      </w:pPr>
      <w:r>
        <w:rPr>
          <w:noProof/>
        </w:rPr>
        <w:drawing>
          <wp:inline distT="0" distB="0" distL="0" distR="0" wp14:anchorId="701B9611" wp14:editId="0464A700">
            <wp:extent cx="4105655" cy="1475232"/>
            <wp:effectExtent l="0" t="0" r="0" b="0"/>
            <wp:docPr id="214" name="Pictur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14" name="Picture">
                      <a:extLst>
                        <a:ext uri="{C183D7F6-B498-43B3-948B-1728B52AA6E4}">
                          <adec:decorative xmlns:adec="http://schemas.microsoft.com/office/drawing/2017/decorative" val="1"/>
                        </a:ext>
                      </a:extLst>
                    </pic:cNvPr>
                    <pic:cNvPicPr>
                      <a:picLocks noChangeAspect="1" noChangeArrowheads="1"/>
                    </pic:cNvPicPr>
                  </pic:nvPicPr>
                  <pic:blipFill>
                    <a:blip r:embed="rId58"/>
                    <a:stretch>
                      <a:fillRect/>
                    </a:stretch>
                  </pic:blipFill>
                  <pic:spPr bwMode="auto">
                    <a:xfrm>
                      <a:off x="0" y="0"/>
                      <a:ext cx="4105655" cy="1475232"/>
                    </a:xfrm>
                    <a:prstGeom prst="rect">
                      <a:avLst/>
                    </a:prstGeom>
                    <a:noFill/>
                    <a:ln w="9525">
                      <a:noFill/>
                      <a:headEnd/>
                      <a:tailEnd/>
                    </a:ln>
                  </pic:spPr>
                </pic:pic>
              </a:graphicData>
            </a:graphic>
          </wp:inline>
        </w:drawing>
      </w:r>
    </w:p>
    <w:p w14:paraId="07DEFCAA" w14:textId="77777777" w:rsidR="00FD0189" w:rsidRDefault="00000000">
      <w:pPr>
        <w:pStyle w:val="BodyText"/>
      </w:pPr>
      <w:r>
        <w:t>New Zealand felt like home after five years, and we had many good friends and colleagues in Christchurch, especially David Lloyd. David and I talked often about strategic models of natural selection (game theory), of which he was one of the world’s leaders. I was particularly influenced by his idea that sexual reproduction, polymorphism, phenotypic plasticity, and hermaphroditism could all be seen under the umbrella of “variation strategies” (</w:t>
      </w:r>
      <w:hyperlink w:anchor="ref-lloyd1984a">
        <w:r>
          <w:rPr>
            <w:rStyle w:val="Hyperlink"/>
          </w:rPr>
          <w:t>Lloyd 1984</w:t>
        </w:r>
      </w:hyperlink>
      <w:r>
        <w:t>). Sadly, when Lynda completed her PhD, her visa expired, and we had to leave New Zealand. But where to go?</w:t>
      </w:r>
    </w:p>
    <w:p w14:paraId="108FBD82" w14:textId="77777777" w:rsidR="00FD0189" w:rsidRDefault="00000000">
      <w:pPr>
        <w:pStyle w:val="BodyText"/>
      </w:pPr>
      <w:r>
        <w:t>Lynda was a rising star when she completed her PhD. She landed a post-doc at Rutgers University to work with Tom Meagher, so we moved to New Jersey in January 1989. Once again, Lynda was supporting us. Steven Handel gave me a desk and some space in his lab. Soon afterward, Peter Morin asked me to give a seminar on sex/</w:t>
      </w:r>
      <w:proofErr w:type="spellStart"/>
      <w:r>
        <w:t>asex</w:t>
      </w:r>
      <w:proofErr w:type="spellEnd"/>
      <w:r>
        <w:t xml:space="preserve"> at Rutgers. I knew of Peter’s pioneering work in community ecology for which he had received a young investigator’s award from the Ecological Society of America (the Mercer Award). I was quite nervous to give a seminar in front of one of my heroes. Another of my heroes, Professor Bob </w:t>
      </w:r>
      <w:proofErr w:type="spellStart"/>
      <w:r>
        <w:t>Vrijenhoek</w:t>
      </w:r>
      <w:proofErr w:type="spellEnd"/>
      <w:r>
        <w:t xml:space="preserve">, was also in the audience. As described in </w:t>
      </w:r>
      <w:hyperlink w:anchor="sec-niche">
        <w:r>
          <w:rPr>
            <w:rStyle w:val="Hyperlink"/>
          </w:rPr>
          <w:t>Section 2.2</w:t>
        </w:r>
      </w:hyperlink>
      <w:r>
        <w:t xml:space="preserve">, Bob was the creative mind behind the Frozen Niche-Variation Hypothesis, and he was well known for his work on sexual and asexual fish (topminnows in the genus </w:t>
      </w:r>
      <w:proofErr w:type="spellStart"/>
      <w:r>
        <w:rPr>
          <w:i/>
          <w:iCs/>
        </w:rPr>
        <w:t>Poeciliopsis</w:t>
      </w:r>
      <w:proofErr w:type="spellEnd"/>
      <w:r>
        <w:t xml:space="preserve">). He was also the director of the Center for Theoretical and Applied Genetics (CTAG) at the New Brunswick campus of Rutgers University, and he was the Editor-in-Chief of the journal </w:t>
      </w:r>
      <w:r>
        <w:rPr>
          <w:i/>
          <w:iCs/>
        </w:rPr>
        <w:t>Evolution</w:t>
      </w:r>
      <w:r>
        <w:t>, the most prestigious journal in evolutionary biology. After my talk, Bob, Peter, Lynda, and I went out for dinner. Somewhere in the middle of the meal, Bob offered me a post-doc to work with him at CTAG. I was dumbfounded. But I managed to say yes, “When do I start?” He said, “How about tomorrow?”</w:t>
      </w:r>
    </w:p>
    <w:p w14:paraId="7565DD18" w14:textId="77777777" w:rsidR="00FD0189" w:rsidRDefault="00000000">
      <w:pPr>
        <w:pStyle w:val="BodyText"/>
      </w:pPr>
      <w:r>
        <w:t xml:space="preserve">For this to make sense, you need to know more about </w:t>
      </w:r>
      <w:proofErr w:type="spellStart"/>
      <w:r>
        <w:t>Vrijenhoek’s</w:t>
      </w:r>
      <w:proofErr w:type="spellEnd"/>
      <w:r>
        <w:t xml:space="preserve"> fish. Like the snails, the fish have coexisting sexual (diploid) and asexual (triploid) forms. The asexual fish, however, were “gynogenetic,” which means that the eggs require fertilization to kick-start embryogenesis. The sneaky eggs, however, do not generally incorporate the sperm’s DNA (review in </w:t>
      </w:r>
      <w:hyperlink w:anchor="ref-vrijenhoek1998a">
        <w:proofErr w:type="spellStart"/>
        <w:r>
          <w:rPr>
            <w:rStyle w:val="Hyperlink"/>
          </w:rPr>
          <w:t>Vrijenhoek</w:t>
        </w:r>
        <w:proofErr w:type="spellEnd"/>
        <w:r>
          <w:rPr>
            <w:rStyle w:val="Hyperlink"/>
          </w:rPr>
          <w:t xml:space="preserve"> 1998</w:t>
        </w:r>
      </w:hyperlink>
      <w:r>
        <w:t>).</w:t>
      </w:r>
      <w:r>
        <w:rPr>
          <w:rStyle w:val="FootnoteReference"/>
        </w:rPr>
        <w:footnoteReference w:id="45"/>
      </w:r>
      <w:r>
        <w:t xml:space="preserve"> The outcome is the coexistence of sexual and asexual lineages within the same semi-isolated populations.</w:t>
      </w:r>
    </w:p>
    <w:p w14:paraId="5FDFDCC0" w14:textId="77777777" w:rsidR="00FD0189" w:rsidRDefault="00000000">
      <w:pPr>
        <w:pStyle w:val="BodyText"/>
      </w:pPr>
      <w:r>
        <w:lastRenderedPageBreak/>
        <w:t xml:space="preserve">Bob had worked on these fish for decades, focusing on small streams in Mexico. He had worked in particular on the coexistence of a sexual form of the fish, </w:t>
      </w:r>
      <w:proofErr w:type="spellStart"/>
      <w:r>
        <w:rPr>
          <w:i/>
          <w:iCs/>
        </w:rPr>
        <w:t>Poeciliopsis</w:t>
      </w:r>
      <w:proofErr w:type="spellEnd"/>
      <w:r>
        <w:rPr>
          <w:i/>
          <w:iCs/>
        </w:rPr>
        <w:t xml:space="preserve"> </w:t>
      </w:r>
      <w:proofErr w:type="spellStart"/>
      <w:r>
        <w:rPr>
          <w:i/>
          <w:iCs/>
        </w:rPr>
        <w:t>monacha</w:t>
      </w:r>
      <w:proofErr w:type="spellEnd"/>
      <w:r>
        <w:t xml:space="preserve">, with two gynogenetic clones, which were interspecific hybrids between </w:t>
      </w:r>
      <w:r>
        <w:rPr>
          <w:i/>
          <w:iCs/>
        </w:rPr>
        <w:t xml:space="preserve">P. </w:t>
      </w:r>
      <w:proofErr w:type="spellStart"/>
      <w:r>
        <w:rPr>
          <w:i/>
          <w:iCs/>
        </w:rPr>
        <w:t>monacha</w:t>
      </w:r>
      <w:proofErr w:type="spellEnd"/>
      <w:r>
        <w:t xml:space="preserve"> and </w:t>
      </w:r>
      <w:r>
        <w:rPr>
          <w:i/>
          <w:iCs/>
        </w:rPr>
        <w:t>P. lucida</w:t>
      </w:r>
      <w:r>
        <w:t xml:space="preserve"> (</w:t>
      </w:r>
      <w:proofErr w:type="spellStart"/>
      <w:r>
        <w:fldChar w:fldCharType="begin"/>
      </w:r>
      <w:r>
        <w:instrText>HYPERLINK \l "ref-vrijenhoek1978a" \h</w:instrText>
      </w:r>
      <w:r>
        <w:fldChar w:fldCharType="separate"/>
      </w:r>
      <w:r>
        <w:rPr>
          <w:rStyle w:val="Hyperlink"/>
        </w:rPr>
        <w:t>Vrijenhoek</w:t>
      </w:r>
      <w:proofErr w:type="spellEnd"/>
      <w:r>
        <w:rPr>
          <w:rStyle w:val="Hyperlink"/>
        </w:rPr>
        <w:t xml:space="preserve"> 1978</w:t>
      </w:r>
      <w:r>
        <w:rPr>
          <w:rStyle w:val="Hyperlink"/>
        </w:rPr>
        <w:fldChar w:fldCharType="end"/>
      </w:r>
      <w:r>
        <w:t xml:space="preserve">, </w:t>
      </w:r>
      <w:hyperlink w:anchor="ref-vrijenhoek1979a">
        <w:r>
          <w:rPr>
            <w:rStyle w:val="Hyperlink"/>
          </w:rPr>
          <w:t>1979</w:t>
        </w:r>
      </w:hyperlink>
      <w:r>
        <w:t xml:space="preserve">). The triploid clones were independently derived from their sexual ancestors, with two copies of the </w:t>
      </w:r>
      <w:proofErr w:type="spellStart"/>
      <w:r>
        <w:t>monacha</w:t>
      </w:r>
      <w:proofErr w:type="spellEnd"/>
      <w:r>
        <w:t xml:space="preserve"> genome and one copy of the lucida genome (</w:t>
      </w:r>
      <w:hyperlink w:anchor="ref-schultz1969a">
        <w:r>
          <w:rPr>
            <w:rStyle w:val="Hyperlink"/>
          </w:rPr>
          <w:t>Schultz 1969</w:t>
        </w:r>
      </w:hyperlink>
      <w:r>
        <w:t xml:space="preserve">). During his studies, Bob had frozen fish for many years from several of his sites. He remembered that some of the fish in his freezer were heavily infected with black-spot disease. The black spots are clearly visible on the body of the fish. The spot itself is caused by trematode larvae that burrow into the fish and encyst (genus </w:t>
      </w:r>
      <w:proofErr w:type="spellStart"/>
      <w:r>
        <w:rPr>
          <w:i/>
          <w:iCs/>
        </w:rPr>
        <w:t>Uvulifer</w:t>
      </w:r>
      <w:proofErr w:type="spellEnd"/>
      <w:r>
        <w:t xml:space="preserve">). The fish’s immune system then coats the cyst with melanin, which turns the cysts black. Bob thought it would be interesting to see if the asexual fish were more infected than the </w:t>
      </w:r>
      <w:proofErr w:type="spellStart"/>
      <w:r>
        <w:t>sexuals</w:t>
      </w:r>
      <w:proofErr w:type="spellEnd"/>
      <w:r>
        <w:t>. The prediction under the Red Queen Hypothesis was that the most common asexual clones would be most infected by black spot disease (</w:t>
      </w:r>
      <w:hyperlink w:anchor="sec-app-5">
        <w:r>
          <w:rPr>
            <w:rStyle w:val="Hyperlink"/>
          </w:rPr>
          <w:t>Section 5.1</w:t>
        </w:r>
      </w:hyperlink>
      <w:r>
        <w:t>).</w:t>
      </w:r>
    </w:p>
    <w:p w14:paraId="2A24957B" w14:textId="77777777" w:rsidR="00FD0189" w:rsidRDefault="00000000">
      <w:pPr>
        <w:pStyle w:val="BodyText"/>
      </w:pPr>
      <w:r>
        <w:t>Bob enlisted the help of one of his PhD students, Clark Craddock. Clark ran the allozyme electrophoresis, which was necessary at the time to tell sexual fish from the two clones. She also helped count the cysts, run the statistics, and write the paper. We found right away that larger fish had more cysts, which makes sense. But we also found that the most common clone, clone 1, had significantly more black spots per unit body length than the sexual fish in Log Pool (</w:t>
      </w:r>
      <w:hyperlink w:anchor="fig-5-1">
        <w:r>
          <w:rPr>
            <w:rStyle w:val="Hyperlink"/>
          </w:rPr>
          <w:t>Figure 5.1</w:t>
        </w:r>
      </w:hyperlink>
      <w:r>
        <w:t xml:space="preserve"> A &amp; B). In addition, the sexual fish showed greater size-corrected variation in the number of parasitic cysts than the asexual fish, which makes sense if the sexual population contained more genetic variation for resistance to infection. So, after correcting for size, the sexual fish were both less infected and showed more variation in infection than the clone 2.</w:t>
      </w:r>
      <w:r>
        <w:rPr>
          <w:rStyle w:val="FootnoteReference"/>
        </w:rPr>
        <w:footnoteReference w:id="46"/>
      </w:r>
      <w:r>
        <w:t xml:space="preserve"> This seemed very promising for the Red Queen.</w:t>
      </w:r>
    </w:p>
    <w:p w14:paraId="58876075" w14:textId="77777777" w:rsidR="00FD0189" w:rsidRDefault="00000000">
      <w:pPr>
        <w:pStyle w:val="BodyText"/>
      </w:pPr>
      <w:r>
        <w:t>Similar results were observed in a second pool (Sandal Pool) in which both clones coexisted. In this pool, clone 2 was more common than clone 1, and it was also more infected than clone 1 (</w:t>
      </w:r>
      <w:hyperlink w:anchor="fig-5-2">
        <w:r>
          <w:rPr>
            <w:rStyle w:val="Hyperlink"/>
          </w:rPr>
          <w:t>Figure 5.2</w:t>
        </w:r>
      </w:hyperlink>
      <w:r>
        <w:t xml:space="preserve">). However, clone 1 was not more infected than the sexual form of P. </w:t>
      </w:r>
      <w:proofErr w:type="spellStart"/>
      <w:r>
        <w:t>monacha</w:t>
      </w:r>
      <w:proofErr w:type="spellEnd"/>
      <w:r>
        <w:t>, which showed that clone 1 is not inherently more susceptible to infection (</w:t>
      </w:r>
      <w:hyperlink w:anchor="ref-lively1990a">
        <w:r>
          <w:rPr>
            <w:rStyle w:val="Hyperlink"/>
          </w:rPr>
          <w:t xml:space="preserve">Lively </w:t>
        </w:r>
        <w:r>
          <w:rPr>
            <w:rStyle w:val="Hyperlink"/>
            <w:i/>
            <w:iCs/>
          </w:rPr>
          <w:t>et al.</w:t>
        </w:r>
        <w:r>
          <w:rPr>
            <w:rStyle w:val="Hyperlink"/>
          </w:rPr>
          <w:t xml:space="preserve"> 1990</w:t>
        </w:r>
      </w:hyperlink>
      <w:r>
        <w:t>). Taken together, the results suggest that the parasites had evolved to disproportionately attack the most common local clone.</w:t>
      </w:r>
    </w:p>
    <w:tbl>
      <w:tblPr>
        <w:tblStyle w:val="Table"/>
        <w:tblW w:w="5000" w:type="pct"/>
        <w:tblLayout w:type="fixed"/>
        <w:tblLook w:val="0000" w:firstRow="0" w:lastRow="0" w:firstColumn="0" w:lastColumn="0" w:noHBand="0" w:noVBand="0"/>
      </w:tblPr>
      <w:tblGrid>
        <w:gridCol w:w="9360"/>
      </w:tblGrid>
      <w:tr w:rsidR="00FD0189" w14:paraId="0DA312B0" w14:textId="77777777">
        <w:tc>
          <w:tcPr>
            <w:tcW w:w="7920" w:type="dxa"/>
          </w:tcPr>
          <w:p w14:paraId="5C8C3B00" w14:textId="77777777" w:rsidR="00FD0189" w:rsidRDefault="00000000">
            <w:pPr>
              <w:pStyle w:val="Compact"/>
              <w:jc w:val="center"/>
            </w:pPr>
            <w:bookmarkStart w:id="92" w:name="fig-5-1"/>
            <w:r>
              <w:rPr>
                <w:noProof/>
              </w:rPr>
              <w:lastRenderedPageBreak/>
              <w:drawing>
                <wp:inline distT="0" distB="0" distL="0" distR="0" wp14:anchorId="0818E938" wp14:editId="2A5E79FD">
                  <wp:extent cx="3566160" cy="4615030"/>
                  <wp:effectExtent l="0" t="0" r="0" b="0"/>
                  <wp:docPr id="219" name="Picture" descr="Two scatter plots showing greater infection in clone 1 than in sexual fish in two different years."/>
                  <wp:cNvGraphicFramePr/>
                  <a:graphic xmlns:a="http://schemas.openxmlformats.org/drawingml/2006/main">
                    <a:graphicData uri="http://schemas.openxmlformats.org/drawingml/2006/picture">
                      <pic:pic xmlns:pic="http://schemas.openxmlformats.org/drawingml/2006/picture">
                        <pic:nvPicPr>
                          <pic:cNvPr id="219" name="Picture" descr="Two scatter plots showing greater infection in clone 1 than in sexual fish in two different years."/>
                          <pic:cNvPicPr>
                            <a:picLocks noChangeAspect="1" noChangeArrowheads="1"/>
                          </pic:cNvPicPr>
                        </pic:nvPicPr>
                        <pic:blipFill>
                          <a:blip r:embed="rId59"/>
                          <a:stretch>
                            <a:fillRect/>
                          </a:stretch>
                        </pic:blipFill>
                        <pic:spPr bwMode="auto">
                          <a:xfrm>
                            <a:off x="0" y="0"/>
                            <a:ext cx="3566160" cy="4615030"/>
                          </a:xfrm>
                          <a:prstGeom prst="rect">
                            <a:avLst/>
                          </a:prstGeom>
                          <a:noFill/>
                          <a:ln w="9525">
                            <a:noFill/>
                            <a:headEnd/>
                            <a:tailEnd/>
                          </a:ln>
                        </pic:spPr>
                      </pic:pic>
                    </a:graphicData>
                  </a:graphic>
                </wp:inline>
              </w:drawing>
            </w:r>
          </w:p>
          <w:p w14:paraId="0AC04851" w14:textId="77777777" w:rsidR="00FD0189" w:rsidRDefault="00000000">
            <w:pPr>
              <w:pStyle w:val="ImageCaption"/>
              <w:spacing w:before="200"/>
            </w:pPr>
            <w:r>
              <w:t xml:space="preserve">Figure 5.1: Number of trematode larvae per fish in Log Pool. </w:t>
            </w:r>
            <w:r>
              <w:rPr>
                <w:b/>
                <w:bCs/>
              </w:rPr>
              <w:t>A.</w:t>
            </w:r>
            <w:r>
              <w:t xml:space="preserve"> Log Pool 1978 (number of </w:t>
            </w:r>
            <w:proofErr w:type="spellStart"/>
            <w:r>
              <w:t>sexuals</w:t>
            </w:r>
            <w:proofErr w:type="spellEnd"/>
            <w:r>
              <w:t xml:space="preserve"> = 23, number of clone 1 = 29). </w:t>
            </w:r>
            <w:r>
              <w:rPr>
                <w:b/>
                <w:bCs/>
              </w:rPr>
              <w:t>B.</w:t>
            </w:r>
            <w:r>
              <w:t xml:space="preserve"> Log Pool 1985 (number of </w:t>
            </w:r>
            <w:proofErr w:type="spellStart"/>
            <w:r>
              <w:t>sexuals</w:t>
            </w:r>
            <w:proofErr w:type="spellEnd"/>
            <w:r>
              <w:t xml:space="preserve"> = 91, number of clone 1 = 81). In both years, the sexual fish showed greater residual variation in infection than clone 1, which hints at an underlying genetic basis for infection. Redrawn from Lively et al. (</w:t>
            </w:r>
            <w:hyperlink w:anchor="ref-lively1990a">
              <w:r>
                <w:rPr>
                  <w:rStyle w:val="Hyperlink"/>
                </w:rPr>
                <w:t>1990</w:t>
              </w:r>
            </w:hyperlink>
            <w:r>
              <w:t>). Note that y axes are the number of trematode larvae plus one.</w:t>
            </w:r>
          </w:p>
        </w:tc>
        <w:bookmarkEnd w:id="92"/>
      </w:tr>
    </w:tbl>
    <w:p w14:paraId="44109373" w14:textId="77777777" w:rsidR="00FD0189" w:rsidRDefault="00000000">
      <w:pPr>
        <w:pStyle w:val="BodyText"/>
      </w:pPr>
      <w:r>
        <w:t xml:space="preserve"> </w:t>
      </w:r>
    </w:p>
    <w:tbl>
      <w:tblPr>
        <w:tblStyle w:val="Table"/>
        <w:tblW w:w="5000" w:type="pct"/>
        <w:tblLayout w:type="fixed"/>
        <w:tblLook w:val="0000" w:firstRow="0" w:lastRow="0" w:firstColumn="0" w:lastColumn="0" w:noHBand="0" w:noVBand="0"/>
      </w:tblPr>
      <w:tblGrid>
        <w:gridCol w:w="9360"/>
      </w:tblGrid>
      <w:tr w:rsidR="00FD0189" w14:paraId="253373B4" w14:textId="77777777">
        <w:tc>
          <w:tcPr>
            <w:tcW w:w="7920" w:type="dxa"/>
          </w:tcPr>
          <w:p w14:paraId="4AF56E61" w14:textId="77777777" w:rsidR="00FD0189" w:rsidRDefault="00000000">
            <w:pPr>
              <w:pStyle w:val="Compact"/>
              <w:jc w:val="center"/>
            </w:pPr>
            <w:bookmarkStart w:id="93" w:name="fig-5-2"/>
            <w:r>
              <w:rPr>
                <w:noProof/>
              </w:rPr>
              <w:lastRenderedPageBreak/>
              <w:drawing>
                <wp:inline distT="0" distB="0" distL="0" distR="0" wp14:anchorId="294F5BE9" wp14:editId="4DA46B3A">
                  <wp:extent cx="3566160" cy="3645248"/>
                  <wp:effectExtent l="0" t="0" r="0" b="0"/>
                  <wp:docPr id="223" name="Picture" descr="&quot;Scatter plot showing greater infection in the more common clone (clone 2) than in the rarer clone (clone 1)."/>
                  <wp:cNvGraphicFramePr/>
                  <a:graphic xmlns:a="http://schemas.openxmlformats.org/drawingml/2006/main">
                    <a:graphicData uri="http://schemas.openxmlformats.org/drawingml/2006/picture">
                      <pic:pic xmlns:pic="http://schemas.openxmlformats.org/drawingml/2006/picture">
                        <pic:nvPicPr>
                          <pic:cNvPr id="223" name="Picture" descr="&quot;Scatter plot showing greater infection in the more common clone (clone 2) than in the rarer clone (clone 1)."/>
                          <pic:cNvPicPr>
                            <a:picLocks noChangeAspect="1" noChangeArrowheads="1"/>
                          </pic:cNvPicPr>
                        </pic:nvPicPr>
                        <pic:blipFill>
                          <a:blip r:embed="rId60"/>
                          <a:stretch>
                            <a:fillRect/>
                          </a:stretch>
                        </pic:blipFill>
                        <pic:spPr bwMode="auto">
                          <a:xfrm>
                            <a:off x="0" y="0"/>
                            <a:ext cx="3566160" cy="3645248"/>
                          </a:xfrm>
                          <a:prstGeom prst="rect">
                            <a:avLst/>
                          </a:prstGeom>
                          <a:noFill/>
                          <a:ln w="9525">
                            <a:noFill/>
                            <a:headEnd/>
                            <a:tailEnd/>
                          </a:ln>
                        </pic:spPr>
                      </pic:pic>
                    </a:graphicData>
                  </a:graphic>
                </wp:inline>
              </w:drawing>
            </w:r>
          </w:p>
          <w:p w14:paraId="449863A4" w14:textId="77777777" w:rsidR="00FD0189" w:rsidRDefault="00000000">
            <w:pPr>
              <w:pStyle w:val="ImageCaption"/>
              <w:spacing w:before="200"/>
            </w:pPr>
            <w:r>
              <w:t>Figure 5.2: Number of trematode larvae infecting clones 1 (</w:t>
            </w:r>
            <m:oMath>
              <m:r>
                <w:rPr>
                  <w:rFonts w:ascii="Latin Modern Math" w:hAnsi="Latin Modern Math"/>
                </w:rPr>
                <m:t>N</m:t>
              </m:r>
              <m:r>
                <m:rPr>
                  <m:sty m:val="p"/>
                </m:rPr>
                <w:rPr>
                  <w:rFonts w:ascii="Latin Modern Math" w:hAnsi="Latin Modern Math"/>
                </w:rPr>
                <m:t>=</m:t>
              </m:r>
              <m:r>
                <w:rPr>
                  <w:rFonts w:ascii="Latin Modern Math" w:hAnsi="Latin Modern Math"/>
                </w:rPr>
                <m:t>44</m:t>
              </m:r>
            </m:oMath>
            <w:r>
              <w:t>) and 2 (</w:t>
            </w:r>
            <m:oMath>
              <m:r>
                <w:rPr>
                  <w:rFonts w:ascii="Latin Modern Math" w:hAnsi="Latin Modern Math"/>
                </w:rPr>
                <m:t>N</m:t>
              </m:r>
              <m:r>
                <m:rPr>
                  <m:sty m:val="p"/>
                </m:rPr>
                <w:rPr>
                  <w:rFonts w:ascii="Latin Modern Math" w:hAnsi="Latin Modern Math"/>
                </w:rPr>
                <m:t>=</m:t>
              </m:r>
              <m:r>
                <w:rPr>
                  <w:rFonts w:ascii="Latin Modern Math" w:hAnsi="Latin Modern Math"/>
                </w:rPr>
                <m:t>75</m:t>
              </m:r>
            </m:oMath>
            <w:r>
              <w:t>) in Sandal Pool 1985. The curve for the se</w:t>
            </w:r>
            <w:proofErr w:type="spellStart"/>
            <w:r>
              <w:t>xual</w:t>
            </w:r>
            <w:proofErr w:type="spellEnd"/>
            <w:r>
              <w:t xml:space="preserve"> population (</w:t>
            </w:r>
            <m:oMath>
              <m:r>
                <w:rPr>
                  <w:rFonts w:ascii="Latin Modern Math" w:hAnsi="Latin Modern Math"/>
                </w:rPr>
                <m:t>N</m:t>
              </m:r>
              <m:r>
                <m:rPr>
                  <m:sty m:val="p"/>
                </m:rPr>
                <w:rPr>
                  <w:rFonts w:ascii="Latin Modern Math" w:hAnsi="Latin Modern Math"/>
                </w:rPr>
                <m:t>=</m:t>
              </m:r>
              <m:r>
                <w:rPr>
                  <w:rFonts w:ascii="Latin Modern Math" w:hAnsi="Latin Modern Math"/>
                </w:rPr>
                <m:t>138</m:t>
              </m:r>
            </m:oMath>
            <w:r>
              <w:t>, not shown) is very similar to the curve for clone 1. Redrawn from Lively et al. (</w:t>
            </w:r>
            <w:hyperlink w:anchor="ref-lively1990a">
              <w:r>
                <w:rPr>
                  <w:rStyle w:val="Hyperlink"/>
                </w:rPr>
                <w:t>1990</w:t>
              </w:r>
            </w:hyperlink>
            <w:r>
              <w:t>).</w:t>
            </w:r>
          </w:p>
        </w:tc>
        <w:bookmarkEnd w:id="93"/>
      </w:tr>
    </w:tbl>
    <w:p w14:paraId="41EA9429" w14:textId="77777777" w:rsidR="00FD0189" w:rsidRDefault="00000000">
      <w:pPr>
        <w:pStyle w:val="BodyText"/>
      </w:pPr>
      <w:r>
        <w:t>But we had more samples to run. When we examined another pool, the trend reversed: sexual fish were more infected than asexual fish (</w:t>
      </w:r>
      <w:hyperlink w:anchor="fig-5-3">
        <w:r>
          <w:rPr>
            <w:rStyle w:val="Hyperlink"/>
          </w:rPr>
          <w:t>Figure 5.3</w:t>
        </w:r>
      </w:hyperlink>
      <w:r>
        <w:t xml:space="preserve"> A). We were confused. I remember Clark telling Bob of this new result. He said something like, “Well, that’s science,” and then headed back to his office. He was halfway there when he turned around and asked, “what sample was that?” Clark told him, “Heart Pool, 1983.” Bob got a big smile. Then he told us that, in that sample, the sexual fish were highly inbred. The population had descended from a small number of founders, and they were homozygous for most loci. So, the sexual fish were more infected in that sample, but they were also genetically depauperate. Under the Red Queen, there is no value to sexual reproduction unless there is genetic variation in the population. On the other hand, the greater level of infection in sexual fish might have been caused by inbreeding depression, which was known for other fitness-related traits (</w:t>
      </w:r>
      <w:proofErr w:type="spellStart"/>
      <w:r>
        <w:fldChar w:fldCharType="begin"/>
      </w:r>
      <w:r>
        <w:instrText>HYPERLINK \l "ref-vrijenhoek1982a" \h</w:instrText>
      </w:r>
      <w:r>
        <w:fldChar w:fldCharType="separate"/>
      </w:r>
      <w:r>
        <w:rPr>
          <w:rStyle w:val="Hyperlink"/>
        </w:rPr>
        <w:t>Vrijenhoek</w:t>
      </w:r>
      <w:proofErr w:type="spellEnd"/>
      <w:r>
        <w:rPr>
          <w:rStyle w:val="Hyperlink"/>
        </w:rPr>
        <w:t xml:space="preserve"> &amp; </w:t>
      </w:r>
      <w:proofErr w:type="spellStart"/>
      <w:r>
        <w:rPr>
          <w:rStyle w:val="Hyperlink"/>
        </w:rPr>
        <w:t>Lerman</w:t>
      </w:r>
      <w:proofErr w:type="spellEnd"/>
      <w:r>
        <w:rPr>
          <w:rStyle w:val="Hyperlink"/>
        </w:rPr>
        <w:t xml:space="preserve"> 1982</w:t>
      </w:r>
      <w:r>
        <w:rPr>
          <w:rStyle w:val="Hyperlink"/>
        </w:rPr>
        <w:fldChar w:fldCharType="end"/>
      </w:r>
      <w:r>
        <w:t>).</w:t>
      </w:r>
    </w:p>
    <w:p w14:paraId="5F42C594" w14:textId="77777777" w:rsidR="00FD0189" w:rsidRDefault="00000000">
      <w:pPr>
        <w:pStyle w:val="BodyText"/>
      </w:pPr>
      <w:r>
        <w:t>It was an amazing set of results, but there was another twist. Bob had added some fish (in 1983) to the isolated founder population in Heart Pool. His goal was to increase the genetic diversity of the sexual population. After a few years, he resampled the site, and fortunately, he had saved the samples in his freezer from 1985. Clark and I had a look. The pattern had reversed: now the sexual fish were less infected than the asexual fish (</w:t>
      </w:r>
      <w:hyperlink w:anchor="fig-5-3">
        <w:r>
          <w:rPr>
            <w:rStyle w:val="Hyperlink"/>
          </w:rPr>
          <w:t>Figure 5.3</w:t>
        </w:r>
      </w:hyperlink>
      <w:r>
        <w:t xml:space="preserve"> B). In addition, the size-corrected variance in infection had increased in the sexual fish in just two years. The advantage to outcrossing seemed to depend on genetic diversity.</w:t>
      </w:r>
    </w:p>
    <w:p w14:paraId="1FA2B30E" w14:textId="77777777" w:rsidR="00FD0189" w:rsidRDefault="00000000">
      <w:pPr>
        <w:pStyle w:val="BodyText"/>
      </w:pPr>
      <w:r>
        <w:lastRenderedPageBreak/>
        <w:t>In summary, the data suggested that the parasites had evolved to infect the most common local host clone in the different pools. They also suggested that sex in genetically diverse host populations results in protection from disease. Both results were consistent with the Red Queen.</w:t>
      </w:r>
      <w:r>
        <w:rPr>
          <w:rStyle w:val="FootnoteReference"/>
        </w:rPr>
        <w:footnoteReference w:id="47"/>
      </w:r>
      <w:r>
        <w:t xml:space="preserve"> Proof? No. Fascinating? Yes. In any case, looking back, I was very lucky to have had the opportunity to work with Professor </w:t>
      </w:r>
      <w:proofErr w:type="spellStart"/>
      <w:r>
        <w:t>Vrijenhoek</w:t>
      </w:r>
      <w:proofErr w:type="spellEnd"/>
      <w:r>
        <w:t>.</w:t>
      </w:r>
    </w:p>
    <w:tbl>
      <w:tblPr>
        <w:tblStyle w:val="Table"/>
        <w:tblW w:w="5000" w:type="pct"/>
        <w:tblLayout w:type="fixed"/>
        <w:tblLook w:val="0000" w:firstRow="0" w:lastRow="0" w:firstColumn="0" w:lastColumn="0" w:noHBand="0" w:noVBand="0"/>
      </w:tblPr>
      <w:tblGrid>
        <w:gridCol w:w="9360"/>
      </w:tblGrid>
      <w:tr w:rsidR="00FD0189" w14:paraId="138EE635" w14:textId="77777777">
        <w:tc>
          <w:tcPr>
            <w:tcW w:w="7920" w:type="dxa"/>
          </w:tcPr>
          <w:p w14:paraId="3FBBF654" w14:textId="77777777" w:rsidR="00FD0189" w:rsidRDefault="00000000">
            <w:pPr>
              <w:pStyle w:val="Compact"/>
              <w:jc w:val="center"/>
            </w:pPr>
            <w:bookmarkStart w:id="94" w:name="fig-5-3"/>
            <w:r>
              <w:rPr>
                <w:noProof/>
              </w:rPr>
              <w:drawing>
                <wp:inline distT="0" distB="0" distL="0" distR="0" wp14:anchorId="7CA7925F" wp14:editId="53117BC1">
                  <wp:extent cx="3566160" cy="4615030"/>
                  <wp:effectExtent l="0" t="0" r="0" b="0"/>
                  <wp:docPr id="228" name="Picture" descr="Two scatter plots showing that inbreed sexual fish were more infected than clone 1, but outbred sexual fish were less infected than clone 1."/>
                  <wp:cNvGraphicFramePr/>
                  <a:graphic xmlns:a="http://schemas.openxmlformats.org/drawingml/2006/main">
                    <a:graphicData uri="http://schemas.openxmlformats.org/drawingml/2006/picture">
                      <pic:pic xmlns:pic="http://schemas.openxmlformats.org/drawingml/2006/picture">
                        <pic:nvPicPr>
                          <pic:cNvPr id="228" name="Picture" descr="Two scatter plots showing that inbreed sexual fish were more infected than clone 1, but outbred sexual fish were less infected than clone 1."/>
                          <pic:cNvPicPr>
                            <a:picLocks noChangeAspect="1" noChangeArrowheads="1"/>
                          </pic:cNvPicPr>
                        </pic:nvPicPr>
                        <pic:blipFill>
                          <a:blip r:embed="rId61"/>
                          <a:stretch>
                            <a:fillRect/>
                          </a:stretch>
                        </pic:blipFill>
                        <pic:spPr bwMode="auto">
                          <a:xfrm>
                            <a:off x="0" y="0"/>
                            <a:ext cx="3566160" cy="4615030"/>
                          </a:xfrm>
                          <a:prstGeom prst="rect">
                            <a:avLst/>
                          </a:prstGeom>
                          <a:noFill/>
                          <a:ln w="9525">
                            <a:noFill/>
                            <a:headEnd/>
                            <a:tailEnd/>
                          </a:ln>
                        </pic:spPr>
                      </pic:pic>
                    </a:graphicData>
                  </a:graphic>
                </wp:inline>
              </w:drawing>
            </w:r>
          </w:p>
          <w:p w14:paraId="28E5D0FB" w14:textId="77777777" w:rsidR="00FD0189" w:rsidRDefault="00000000">
            <w:pPr>
              <w:pStyle w:val="ImageCaption"/>
              <w:spacing w:before="200"/>
            </w:pPr>
            <w:r>
              <w:t xml:space="preserve">Figure 5.3: Number of trematode larvae infecting fish in Heart Pool. </w:t>
            </w:r>
            <w:r>
              <w:rPr>
                <w:b/>
                <w:bCs/>
              </w:rPr>
              <w:t>A (top):</w:t>
            </w:r>
            <w:r>
              <w:t xml:space="preserve"> Heart Pool 1983 (number of </w:t>
            </w:r>
            <w:proofErr w:type="spellStart"/>
            <w:r>
              <w:t>sexuals</w:t>
            </w:r>
            <w:proofErr w:type="spellEnd"/>
            <w:r>
              <w:t xml:space="preserve"> = 27; number of clone 1 = 34). The sexual fish in the pool were highly inbred and they were also significantly more infected per unit length than clone 1. The result remained significant after removing the apparent outlier in the sexual population with more than 400 cysts (black spots). The residual variances in the number of cysts were not significantly </w:t>
            </w:r>
            <w:r>
              <w:lastRenderedPageBreak/>
              <w:t xml:space="preserve">different between the inbred sexual fish and clone 1. </w:t>
            </w:r>
            <w:r>
              <w:rPr>
                <w:b/>
                <w:bCs/>
              </w:rPr>
              <w:t>B (bottom):</w:t>
            </w:r>
            <w:r>
              <w:t xml:space="preserve"> Heart Pool 1985 after the infusion of genetic variation into the pool. Here the sexual fish (</w:t>
            </w:r>
            <m:oMath>
              <m:r>
                <w:rPr>
                  <w:rFonts w:ascii="Latin Modern Math" w:hAnsi="Latin Modern Math"/>
                </w:rPr>
                <m:t>N</m:t>
              </m:r>
              <m:r>
                <m:rPr>
                  <m:sty m:val="p"/>
                </m:rPr>
                <w:rPr>
                  <w:rFonts w:ascii="Latin Modern Math" w:hAnsi="Latin Modern Math"/>
                </w:rPr>
                <m:t>=</m:t>
              </m:r>
              <m:r>
                <w:rPr>
                  <w:rFonts w:ascii="Latin Modern Math" w:hAnsi="Latin Modern Math"/>
                </w:rPr>
                <m:t>171</m:t>
              </m:r>
            </m:oMath>
            <w:r>
              <w:t>) were less infected than the coexisting clone (</w:t>
            </w:r>
            <m:oMath>
              <m:r>
                <w:rPr>
                  <w:rFonts w:ascii="Latin Modern Math" w:hAnsi="Latin Modern Math"/>
                </w:rPr>
                <m:t>N</m:t>
              </m:r>
              <m:r>
                <m:rPr>
                  <m:sty m:val="p"/>
                </m:rPr>
                <w:rPr>
                  <w:rFonts w:ascii="Latin Modern Math" w:hAnsi="Latin Modern Math"/>
                </w:rPr>
                <m:t>=</m:t>
              </m:r>
              <m:r>
                <w:rPr>
                  <w:rFonts w:ascii="Latin Modern Math" w:hAnsi="Latin Modern Math"/>
                </w:rPr>
                <m:t>48</m:t>
              </m:r>
            </m:oMath>
            <w:r>
              <w:t xml:space="preserve">), and they showed significantly greater residual variation for infection than the clone, </w:t>
            </w:r>
            <w:proofErr w:type="gramStart"/>
            <w:r>
              <w:t>similar to</w:t>
            </w:r>
            <w:proofErr w:type="gramEnd"/>
            <w:r>
              <w:t xml:space="preserve"> the results for Log Pool. Redrawn from Lively et al. (</w:t>
            </w:r>
            <w:hyperlink w:anchor="ref-lively1990a">
              <w:r>
                <w:rPr>
                  <w:rStyle w:val="Hyperlink"/>
                </w:rPr>
                <w:t>1990</w:t>
              </w:r>
            </w:hyperlink>
            <w:r>
              <w:t>).</w:t>
            </w:r>
          </w:p>
        </w:tc>
        <w:bookmarkEnd w:id="94"/>
      </w:tr>
    </w:tbl>
    <w:p w14:paraId="6C223B7E" w14:textId="77777777" w:rsidR="00FD0189" w:rsidRDefault="00000000">
      <w:pPr>
        <w:pStyle w:val="Heading2"/>
      </w:pPr>
      <w:bookmarkStart w:id="95" w:name="sec-app-5"/>
      <w:bookmarkStart w:id="96" w:name="_Toc159248510"/>
      <w:r>
        <w:lastRenderedPageBreak/>
        <w:t>5.1 Appendix: Within Versus Between Populations</w:t>
      </w:r>
      <w:bookmarkEnd w:id="96"/>
    </w:p>
    <w:p w14:paraId="78515279" w14:textId="77777777" w:rsidR="00FD0189" w:rsidRDefault="00000000">
      <w:pPr>
        <w:pStyle w:val="FirstParagraph"/>
      </w:pPr>
      <w:r>
        <w:t xml:space="preserve">It can be a bit confusing, but I think that the predictions of the Red Queen Hypothesis depend on whether one is looking </w:t>
      </w:r>
      <w:r>
        <w:rPr>
          <w:b/>
          <w:bCs/>
        </w:rPr>
        <w:t>within versus between populations</w:t>
      </w:r>
      <w:r>
        <w:t xml:space="preserve">. In </w:t>
      </w:r>
      <w:hyperlink w:anchor="sec-eco-hyp-cont">
        <w:r>
          <w:rPr>
            <w:rStyle w:val="Hyperlink"/>
          </w:rPr>
          <w:t>Chapter 3</w:t>
        </w:r>
      </w:hyperlink>
      <w:r>
        <w:t>, I suggested that snail populations having more parasites should be more likely to have some sexual reproduction. Here I am suggesting that asexual fish would be expected to have more parasites. How does that work?</w:t>
      </w:r>
    </w:p>
    <w:p w14:paraId="62D5D5FB" w14:textId="77777777" w:rsidR="00FD0189" w:rsidRDefault="00000000">
      <w:pPr>
        <w:pStyle w:val="BodyText"/>
      </w:pPr>
      <w:r>
        <w:rPr>
          <w:b/>
          <w:bCs/>
        </w:rPr>
        <w:t>Between populations</w:t>
      </w:r>
      <w:r>
        <w:t xml:space="preserve"> we would expect to find that host populations without coevolving parasites would evolve to reproduce by parthenogenesis. As such, sex should be positively correlated with infection prevalence. The pattern, however, would be expected to be messy, even in cases where parasites are the major driving force for sex (</w:t>
      </w:r>
      <w:hyperlink w:anchor="ref-lively2021a">
        <w:r>
          <w:rPr>
            <w:rStyle w:val="Hyperlink"/>
          </w:rPr>
          <w:t xml:space="preserve">Lively </w:t>
        </w:r>
        <w:r>
          <w:rPr>
            <w:rStyle w:val="Hyperlink"/>
            <w:i/>
            <w:iCs/>
          </w:rPr>
          <w:t>et al.</w:t>
        </w:r>
        <w:r>
          <w:rPr>
            <w:rStyle w:val="Hyperlink"/>
          </w:rPr>
          <w:t xml:space="preserve"> 2021</w:t>
        </w:r>
      </w:hyperlink>
      <w:r>
        <w:t>). Nonetheless, the common expectation is that sex should be more common in host populations having a history of strong parasite-mediated selection against common genotypes.</w:t>
      </w:r>
    </w:p>
    <w:p w14:paraId="407ED8EC" w14:textId="77777777" w:rsidR="00FD0189" w:rsidRDefault="00000000">
      <w:pPr>
        <w:pStyle w:val="BodyText"/>
      </w:pPr>
      <w:r>
        <w:rPr>
          <w:b/>
          <w:bCs/>
        </w:rPr>
        <w:t>Within populations</w:t>
      </w:r>
      <w:r>
        <w:t xml:space="preserve"> the most common host genotypes should be more infected, at least periodically. Hence the most common clonal genotypes should be more infected than cross-fertilizing hosts in the sexual population. This might be especially true in cases such as </w:t>
      </w:r>
      <w:proofErr w:type="spellStart"/>
      <w:r>
        <w:t>Vrijenhoek’s</w:t>
      </w:r>
      <w:proofErr w:type="spellEnd"/>
      <w:r>
        <w:t xml:space="preserve"> fish discussed here, where parasites may not be virulent enough to drive strong oscillatory dynamics in clone frequencies, and sexual reproduction is most likely maintained by sperm-dependent (</w:t>
      </w:r>
      <w:proofErr w:type="spellStart"/>
      <w:r>
        <w:t>pseudogamous</w:t>
      </w:r>
      <w:proofErr w:type="spellEnd"/>
      <w:r>
        <w:t>) reproduction in the clones (</w:t>
      </w:r>
      <w:hyperlink w:anchor="ref-moore1971a">
        <w:r>
          <w:rPr>
            <w:rStyle w:val="Hyperlink"/>
          </w:rPr>
          <w:t>Moore &amp; McKay 1971</w:t>
        </w:r>
      </w:hyperlink>
      <w:r>
        <w:t>) and/or by greater niche width in the sexual population (</w:t>
      </w:r>
      <w:hyperlink w:anchor="ref-Schenck1986a">
        <w:r>
          <w:rPr>
            <w:rStyle w:val="Hyperlink"/>
          </w:rPr>
          <w:t xml:space="preserve">Schenck &amp; </w:t>
        </w:r>
        <w:proofErr w:type="spellStart"/>
        <w:r>
          <w:rPr>
            <w:rStyle w:val="Hyperlink"/>
          </w:rPr>
          <w:t>Vrijenhoek</w:t>
        </w:r>
        <w:proofErr w:type="spellEnd"/>
        <w:r>
          <w:rPr>
            <w:rStyle w:val="Hyperlink"/>
          </w:rPr>
          <w:t xml:space="preserve"> 1986</w:t>
        </w:r>
      </w:hyperlink>
      <w:r>
        <w:t>).</w:t>
      </w:r>
    </w:p>
    <w:p w14:paraId="5D54AE4C" w14:textId="77777777" w:rsidR="00FD0189" w:rsidRDefault="00000000">
      <w:pPr>
        <w:pStyle w:val="Heading1"/>
      </w:pPr>
      <w:bookmarkStart w:id="97" w:name="sec-chap6"/>
      <w:bookmarkStart w:id="98" w:name="_Toc159248511"/>
      <w:bookmarkEnd w:id="90"/>
      <w:bookmarkEnd w:id="95"/>
      <w:r>
        <w:lastRenderedPageBreak/>
        <w:t>6. The Ratchet and the Red Queen</w:t>
      </w:r>
      <w:bookmarkEnd w:id="98"/>
    </w:p>
    <w:p w14:paraId="14AF8E47" w14:textId="77777777" w:rsidR="00FD0189" w:rsidRDefault="00000000">
      <w:pPr>
        <w:pStyle w:val="FirstParagraph"/>
      </w:pPr>
      <w:r>
        <w:rPr>
          <w:noProof/>
        </w:rPr>
        <w:drawing>
          <wp:inline distT="0" distB="0" distL="0" distR="0" wp14:anchorId="027BF5CD" wp14:editId="60C5831D">
            <wp:extent cx="2054352" cy="2761488"/>
            <wp:effectExtent l="0" t="0" r="0" b="0"/>
            <wp:docPr id="234" name="Pictur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34" name="Picture">
                      <a:extLst>
                        <a:ext uri="{C183D7F6-B498-43B3-948B-1728B52AA6E4}">
                          <adec:decorative xmlns:adec="http://schemas.microsoft.com/office/drawing/2017/decorative" val="1"/>
                        </a:ext>
                      </a:extLst>
                    </pic:cNvPr>
                    <pic:cNvPicPr>
                      <a:picLocks noChangeAspect="1" noChangeArrowheads="1"/>
                    </pic:cNvPicPr>
                  </pic:nvPicPr>
                  <pic:blipFill>
                    <a:blip r:embed="rId62"/>
                    <a:stretch>
                      <a:fillRect/>
                    </a:stretch>
                  </pic:blipFill>
                  <pic:spPr bwMode="auto">
                    <a:xfrm>
                      <a:off x="0" y="0"/>
                      <a:ext cx="2054352" cy="2761488"/>
                    </a:xfrm>
                    <a:prstGeom prst="rect">
                      <a:avLst/>
                    </a:prstGeom>
                    <a:noFill/>
                    <a:ln w="9525">
                      <a:noFill/>
                      <a:headEnd/>
                      <a:tailEnd/>
                    </a:ln>
                  </pic:spPr>
                </pic:pic>
              </a:graphicData>
            </a:graphic>
          </wp:inline>
        </w:drawing>
      </w:r>
    </w:p>
    <w:p w14:paraId="2DF1E627" w14:textId="77777777" w:rsidR="00FD0189" w:rsidRDefault="00000000">
      <w:pPr>
        <w:pStyle w:val="BodyText"/>
      </w:pPr>
      <w:r>
        <w:t>In 1988, Indiana University advertised for an assistant professor in population biology with emphasis on disease ecology. Lynda and I both applied. Happily, we were offered a split position in Biology in which we each got half salary. It may not sound like a good deal, but we were thrilled. It is not easy for a dual-career couple in the same field. We relocated to Bloomington in January 1990, arriving during a cold snap (-20° C). We moved into a university house, but we did not know enough to have the electricity turned on before our arrival. Luckily, we still had our down sleeping bags, which we had purchased for field work in the Southern Alps. Aside from the chilly start, moving to Bloomington was the beginning of an academic dream come true.</w:t>
      </w:r>
    </w:p>
    <w:p w14:paraId="34172E06" w14:textId="77777777" w:rsidR="00FD0189" w:rsidRDefault="00000000">
      <w:pPr>
        <w:pStyle w:val="Heading2"/>
      </w:pPr>
      <w:bookmarkStart w:id="99" w:name="the-problem-1"/>
      <w:bookmarkStart w:id="100" w:name="_Toc159248512"/>
      <w:r>
        <w:t>6.1 The Problem</w:t>
      </w:r>
      <w:bookmarkEnd w:id="100"/>
    </w:p>
    <w:p w14:paraId="784D7D6F" w14:textId="77777777" w:rsidR="00FD0189" w:rsidRDefault="00000000">
      <w:pPr>
        <w:pStyle w:val="FirstParagraph"/>
      </w:pPr>
      <w:r>
        <w:t>Since the beginning of my work on sex/</w:t>
      </w:r>
      <w:proofErr w:type="spellStart"/>
      <w:r>
        <w:t>asex</w:t>
      </w:r>
      <w:proofErr w:type="spellEnd"/>
      <w:r>
        <w:t>, there were two things that worried me about the Red Queen Hypothesis. The first of these was pointed out by May and Anderson (</w:t>
      </w:r>
      <w:hyperlink w:anchor="ref-may1983a">
        <w:r>
          <w:rPr>
            <w:rStyle w:val="Hyperlink"/>
          </w:rPr>
          <w:t>1983</w:t>
        </w:r>
      </w:hyperlink>
      <w:r>
        <w:t>). This is the same study that launched a massive wave of studies on the evolution of parasite virulence, but it is also one of the first theoretical studies on the Red Queen Hypothesis for sex. May and Anderson concluded that the Red Queen could work, but only if parasites killed their hosts (i.e., they were maximally virulent).</w:t>
      </w:r>
      <w:r>
        <w:rPr>
          <w:rStyle w:val="FootnoteReference"/>
        </w:rPr>
        <w:footnoteReference w:id="48"/>
      </w:r>
      <w:r>
        <w:t xml:space="preserve"> So, it seemed to me that the Red Queen could not be a general explanation for sex. It was for this reason that I was biased against the hypothesis when I first started my work in New Zealand. But as May and Anderson pointed out, their model made assumptions that were “not brought down from Mt. Sinai.” They assumed</w:t>
      </w:r>
      <w:proofErr w:type="gramStart"/>
      <w:r>
        <w:t>, in particular, that</w:t>
      </w:r>
      <w:proofErr w:type="gramEnd"/>
      <w:r>
        <w:t xml:space="preserve"> infection was mediated by a single locus with two alleles, giving three genotypes. They also </w:t>
      </w:r>
      <w:r>
        <w:lastRenderedPageBreak/>
        <w:t xml:space="preserve">assumed that the clonal population was initiated with all three possible genotypes for resistance. These are critical assumptions, as we will see in Volume 2 (or see </w:t>
      </w:r>
      <w:hyperlink w:anchor="ref-lively2018a">
        <w:r>
          <w:rPr>
            <w:rStyle w:val="Hyperlink"/>
          </w:rPr>
          <w:t>Lively 2018</w:t>
        </w:r>
      </w:hyperlink>
      <w:r>
        <w:t>).</w:t>
      </w:r>
    </w:p>
    <w:p w14:paraId="4FD202AF" w14:textId="77777777" w:rsidR="00FD0189" w:rsidRDefault="00000000">
      <w:pPr>
        <w:pStyle w:val="BodyText"/>
      </w:pPr>
      <w:r>
        <w:t>The second problem was that parasites do not select for sex per se. They only select against common genotypes. This means that once parasites drive a common clone down to a rare frequency, it should become favored by selection. Barring loss of the clone by chance in small populations, the clone should increase in frequency, eventually leading to oscillations over time. So, while parasites might prevent the fixation of the clone in the short term, they do not eliminate it. Now here is the problem. What if a second clone, with a different genotype, arises in the population? It should also spread when rare. So should any new clone. Given that parasites are simply a source of frequency-dependent selection, parasite-mediated selection should lead to the accumulation of different clonal genotypes (</w:t>
      </w:r>
      <w:hyperlink w:anchor="ref-lively1994a">
        <w:r>
          <w:rPr>
            <w:rStyle w:val="Hyperlink"/>
          </w:rPr>
          <w:t>Lively &amp; Howard 1994</w:t>
        </w:r>
      </w:hyperlink>
      <w:r>
        <w:t>).</w:t>
      </w:r>
      <w:r>
        <w:rPr>
          <w:rStyle w:val="FootnoteReference"/>
        </w:rPr>
        <w:footnoteReference w:id="49"/>
      </w:r>
      <w:r>
        <w:t xml:space="preserve"> It seemed obvious that, if clonal diversity became sufficiently high, the diverse clonal population would eliminate the sexual population. Hence the Red Queen did not seem stable in the face of repeated mutation to asexual reproduction. I began to think that combining alternative hypotheses might be useful. I turned first to Muller’s ratchet.</w:t>
      </w:r>
    </w:p>
    <w:p w14:paraId="46BDDB0D" w14:textId="77777777" w:rsidR="00FD0189" w:rsidRDefault="00000000">
      <w:pPr>
        <w:pStyle w:val="Heading2"/>
      </w:pPr>
      <w:bookmarkStart w:id="101" w:name="mullers-ratchet"/>
      <w:bookmarkStart w:id="102" w:name="_Toc159248513"/>
      <w:bookmarkEnd w:id="99"/>
      <w:r>
        <w:t>6.2 Muller’s Ratchet</w:t>
      </w:r>
      <w:bookmarkEnd w:id="102"/>
    </w:p>
    <w:p w14:paraId="7C8955A4" w14:textId="77777777" w:rsidR="00FD0189" w:rsidRDefault="00000000">
      <w:pPr>
        <w:pStyle w:val="FirstParagraph"/>
      </w:pPr>
      <w:r>
        <w:t>Herman J. Muller was a prize-winning geneticist. He won the Nobel Prize in Medicine and Physiology just one year after moving to Indiana University in 1945. In the early 1960s, Muller was invited to write an introductory paper for a new journal. The editor graciously acknowledged Muller in the preface to this first issue (</w:t>
      </w:r>
      <w:proofErr w:type="spellStart"/>
      <w:r>
        <w:fldChar w:fldCharType="begin"/>
      </w:r>
      <w:r>
        <w:instrText>HYPERLINK \l "ref-sobels1964a" \h</w:instrText>
      </w:r>
      <w:r>
        <w:fldChar w:fldCharType="separate"/>
      </w:r>
      <w:r>
        <w:rPr>
          <w:rStyle w:val="Hyperlink"/>
        </w:rPr>
        <w:t>Sobels</w:t>
      </w:r>
      <w:proofErr w:type="spellEnd"/>
      <w:r>
        <w:rPr>
          <w:rStyle w:val="Hyperlink"/>
        </w:rPr>
        <w:t xml:space="preserve"> 1964</w:t>
      </w:r>
      <w:r>
        <w:rPr>
          <w:rStyle w:val="Hyperlink"/>
        </w:rPr>
        <w:fldChar w:fldCharType="end"/>
      </w:r>
      <w:r>
        <w:t>): “We are particularly honored that we can start the journal with a paper by Dr. H. J. Muller.” In this inaugural paper, Muller (</w:t>
      </w:r>
      <w:hyperlink w:anchor="ref-muller1964a">
        <w:r>
          <w:rPr>
            <w:rStyle w:val="Hyperlink"/>
          </w:rPr>
          <w:t>1964</w:t>
        </w:r>
      </w:hyperlink>
      <w:r>
        <w:t xml:space="preserve">) wrote a bomb sentence: “[W]e find that an asexual population incorporates a kind of ratchet mechanism, such that it can never get to contain, in any of its lines, a load of mutations smaller than that already existing in its at present least-loaded lines.” In other words, obligately asexual populations should accumulate deleterious mutations over time. A decade later, Joe </w:t>
      </w:r>
      <w:proofErr w:type="spellStart"/>
      <w:r>
        <w:t>Felsenstein</w:t>
      </w:r>
      <w:proofErr w:type="spellEnd"/>
      <w:r>
        <w:t xml:space="preserve"> (</w:t>
      </w:r>
      <w:hyperlink w:anchor="ref-felsenstein1974a">
        <w:r>
          <w:rPr>
            <w:rStyle w:val="Hyperlink"/>
          </w:rPr>
          <w:t>1974</w:t>
        </w:r>
      </w:hyperlink>
      <w:r>
        <w:t>) named the idea “Muller’s ratchet,” and he pointed to the probable importance of the ratchet in population genetics.</w:t>
      </w:r>
      <w:r>
        <w:rPr>
          <w:rStyle w:val="FootnoteReference"/>
        </w:rPr>
        <w:footnoteReference w:id="50"/>
      </w:r>
      <w:r>
        <w:t xml:space="preserve"> The concepts underlying the idea are not especially intuitive, but I will try to explain the gist of it. First, we must ask, what is a clone?</w:t>
      </w:r>
    </w:p>
    <w:p w14:paraId="3BA75F34" w14:textId="77777777" w:rsidR="00FD0189" w:rsidRDefault="00000000">
      <w:pPr>
        <w:pStyle w:val="BodyText"/>
      </w:pPr>
      <w:r>
        <w:lastRenderedPageBreak/>
        <w:t>I have been using “clone” so far to describe a group of genetically identical descendants from a single asexual individual. But Muller knew that this was not strictly true because mutation happens. Thus, as any new clone spreads in a population, mutations accumulate, leading to variation among individuals in the number of mutations (</w:t>
      </w:r>
      <w:hyperlink w:anchor="fig-6-1">
        <w:r>
          <w:rPr>
            <w:rStyle w:val="Hyperlink"/>
          </w:rPr>
          <w:t>Figure 6.1</w:t>
        </w:r>
      </w:hyperlink>
      <w:r>
        <w:t>). It must be true then that there is a group of individuals within the clone that have the fewest mutations. Muller called this the “least-loaded class.” Here is Muller’s insight. Given that the least-loaded class in a finite population might be a handful of individuals, the least-loaded (most fit) class could be lost by chance. How would that happen? Two ways. First, the members of the least-loaded class (“LLC”) could be lost by bad luck. Maybe all five of members of the LLC were washed away by a flood, or anything related to being in the wrong place at the wrong time. Second, the members of the LLC might produce offspring with one (or more) new mutations. Clearly, the two options are not mutually exclusive. The point is the least-loaded class can be lost. This means that the ratchet clicks towards a greater mean number of mutations in an asexual line.</w:t>
      </w:r>
    </w:p>
    <w:p w14:paraId="1EFC13A7" w14:textId="77777777" w:rsidR="00FD0189" w:rsidRDefault="00000000">
      <w:pPr>
        <w:pStyle w:val="BodyText"/>
      </w:pPr>
      <w:r>
        <w:t>My students will immediately engage, “Okay, but the most-loaded class could also be lost for the same reason.” Yes, that is correct. But the most-loaded class can be restored by new mutations in the second most-loaded class. In contrast, the LLC can only be restored by back mutation, which has a very low probability of occurrence. Hence, the mean number of mutations in a clonal lineage is expected to increase over time, thereby decreasing mean fitness and eroding the advantage to asexual reproduction.</w:t>
      </w:r>
    </w:p>
    <w:p w14:paraId="478AA544" w14:textId="77777777" w:rsidR="00FD0189" w:rsidRDefault="00000000">
      <w:pPr>
        <w:pStyle w:val="BodyText"/>
      </w:pPr>
      <w:r>
        <w:t>The ratchet, however, takes a long time to work, especially in large populations where genetic drift is less problematic. As such, a clone would likely outcompete and eliminate the coexisting sexual population before the ratchet drives the clone to extinction. Hence, Muller’s ratchet does not seem to be a viable stand-alone explanation for the persistence of obligately sexual populations. But what if there were a force that periodically reduced the number of clonal individuals? That should increase the rate of mutation accumulation by genetic drift in the asexual lineage. Hopefully, you can see where this is going.</w:t>
      </w:r>
    </w:p>
    <w:p w14:paraId="2CF2F300" w14:textId="77777777" w:rsidR="00FD0189" w:rsidRDefault="00000000">
      <w:pPr>
        <w:pStyle w:val="Heading2"/>
      </w:pPr>
      <w:bookmarkStart w:id="103" w:name="X97c87695e2ea9fc8baee0bfe11e2ecad386fef3"/>
      <w:bookmarkStart w:id="104" w:name="_Toc159248514"/>
      <w:bookmarkEnd w:id="101"/>
      <w:r>
        <w:t>6.3 Synergistic Ideas? The Ratchet and the Red Queen</w:t>
      </w:r>
      <w:bookmarkEnd w:id="104"/>
    </w:p>
    <w:p w14:paraId="7F6123E8" w14:textId="77777777" w:rsidR="00FD0189" w:rsidRDefault="00000000">
      <w:pPr>
        <w:pStyle w:val="FirstParagraph"/>
      </w:pPr>
      <w:r>
        <w:t>Here is the idea. Parasite-mediated selection against common genotypes might prevent the fixation of a clone in the short term. Parasites could also drive clones through periodic bottlenecks, which would speed up the rate at which the ratchet clicks. The ratchet could then gradually reduce the reproductive advantage of asexual reproduction. Eventually the clone would be eliminated, not by parasites, but by a parasite-driven ratchet. Perhaps the ratchet could eliminate different clonal lineages as quickly as they were generated by mutation in the sexual population.</w:t>
      </w:r>
    </w:p>
    <w:p w14:paraId="4CAB8479" w14:textId="77777777" w:rsidR="00FD0189" w:rsidRDefault="00000000">
      <w:pPr>
        <w:pStyle w:val="BodyText"/>
      </w:pPr>
      <w:r>
        <w:t>My first PhD student at Indiana University was Steve Howard, who transferred in from another lab. Early on, we had many discussions about our experiences as construction workers and our fondness for characters in John Steinbeck’s books. We also began to expand on the possibility of synergism between the ratchet and the Red Queen. During one of our sessions, Steve (in a whimsical moment) said that he could have a solution in the morning. But it was not an overnight problem to solve, as we both soon realized. The solution required an individual-based computer simulation, which was not common at that time (</w:t>
      </w:r>
      <w:hyperlink w:anchor="ref-judson1994a">
        <w:r>
          <w:rPr>
            <w:rStyle w:val="Hyperlink"/>
          </w:rPr>
          <w:t>Judson 1994</w:t>
        </w:r>
      </w:hyperlink>
      <w:r>
        <w:t xml:space="preserve">). By that I mean that </w:t>
      </w:r>
      <w:r>
        <w:lastRenderedPageBreak/>
        <w:t>Steve had to write a simulation that kept track of every individual in the population, including whether it became infected and whether it produced offspring with one or more new mutations. Steve is a locked-on theoretician. He could not sleep during the construction of his model, and he would sometimes call me in the middle of the night. First, he had to show that his model would converge on analytical solutions for the number of mutations at equilibrium. This equilibrium is called “mutation-selection balance,” which occurs when the input of mutations is exactly cancelled out by the elimination of mutations by natural selection (</w:t>
      </w:r>
      <w:hyperlink w:anchor="sec-app-6">
        <w:r>
          <w:rPr>
            <w:rStyle w:val="Hyperlink"/>
          </w:rPr>
          <w:t>Section 6.5</w:t>
        </w:r>
      </w:hyperlink>
      <w:r>
        <w:t>). But what is the analytical solution?</w:t>
      </w:r>
    </w:p>
    <w:p w14:paraId="6B060646" w14:textId="77777777" w:rsidR="00FD0189" w:rsidRDefault="00000000">
      <w:pPr>
        <w:pStyle w:val="BodyText"/>
      </w:pPr>
      <w:r>
        <w:t xml:space="preserve">As in any model, there are assumptions involved. For starters, let’s assume that the proportional reduction in fitness caused by each new mutation is the same as for all previous mutations (independent effects). Therefore, the fitness of an individual with </w:t>
      </w:r>
      <m:oMath>
        <m:r>
          <w:rPr>
            <w:rFonts w:ascii="Latin Modern Math" w:hAnsi="Latin Modern Math"/>
          </w:rPr>
          <m:t>k</m:t>
        </m:r>
      </m:oMath>
      <w:r>
        <w:t xml:space="preserve"> m</w:t>
      </w:r>
      <w:proofErr w:type="spellStart"/>
      <w:r>
        <w:t>utations</w:t>
      </w:r>
      <w:proofErr w:type="spellEnd"/>
      <w:r>
        <w:t xml:space="preserve"> is given by </w:t>
      </w:r>
      <m:oMath>
        <m:sSup>
          <m:sSupPr>
            <m:ctrlPr>
              <w:rPr>
                <w:rFonts w:ascii="Latin Modern Math" w:hAnsi="Latin Modern Math"/>
              </w:rPr>
            </m:ctrlPr>
          </m:sSupPr>
          <m:e>
            <m:d>
              <m:dPr>
                <m:ctrlPr>
                  <w:rPr>
                    <w:rFonts w:ascii="Latin Modern Math" w:hAnsi="Latin Modern Math"/>
                  </w:rPr>
                </m:ctrlPr>
              </m:dPr>
              <m:e>
                <m:r>
                  <w:rPr>
                    <w:rFonts w:ascii="Latin Modern Math" w:hAnsi="Latin Modern Math"/>
                  </w:rPr>
                  <m:t>1</m:t>
                </m:r>
                <m:r>
                  <m:rPr>
                    <m:sty m:val="p"/>
                  </m:rPr>
                  <w:rPr>
                    <w:rFonts w:ascii="Latin Modern Math" w:hAnsi="Latin Modern Math"/>
                  </w:rPr>
                  <m:t>-</m:t>
                </m:r>
                <m:r>
                  <w:rPr>
                    <w:rFonts w:ascii="Latin Modern Math" w:hAnsi="Latin Modern Math"/>
                  </w:rPr>
                  <m:t>s</m:t>
                </m:r>
              </m:e>
            </m:d>
          </m:e>
          <m:sup>
            <m:r>
              <w:rPr>
                <w:rFonts w:ascii="Latin Modern Math" w:hAnsi="Latin Modern Math"/>
              </w:rPr>
              <m:t>k</m:t>
            </m:r>
          </m:sup>
        </m:sSup>
      </m:oMath>
      <w:r>
        <w:t xml:space="preserve"> where </w:t>
      </w:r>
      <m:oMath>
        <m:r>
          <w:rPr>
            <w:rFonts w:ascii="Latin Modern Math" w:hAnsi="Latin Modern Math"/>
          </w:rPr>
          <m:t>s</m:t>
        </m:r>
      </m:oMath>
      <w:r>
        <w:t xml:space="preserve"> gives the selection against each mutation. Kimura and Maruyama (</w:t>
      </w:r>
      <w:hyperlink w:anchor="ref-kimura1966a">
        <w:r>
          <w:rPr>
            <w:rStyle w:val="Hyperlink"/>
          </w:rPr>
          <w:t>1966</w:t>
        </w:r>
      </w:hyperlink>
      <w:r>
        <w:t xml:space="preserve">) showed that the number of mutations at mutation-selection balance is equal to </w:t>
      </w:r>
      <m:oMath>
        <m:r>
          <w:rPr>
            <w:rFonts w:ascii="Latin Modern Math" w:hAnsi="Latin Modern Math"/>
          </w:rPr>
          <m:t>U</m:t>
        </m:r>
        <m:r>
          <m:rPr>
            <m:sty m:val="p"/>
          </m:rPr>
          <w:rPr>
            <w:rFonts w:ascii="Latin Modern Math" w:hAnsi="Latin Modern Math"/>
          </w:rPr>
          <m:t>/</m:t>
        </m:r>
        <m:r>
          <w:rPr>
            <w:rFonts w:ascii="Latin Modern Math" w:hAnsi="Latin Modern Math"/>
          </w:rPr>
          <m:t>s</m:t>
        </m:r>
      </m:oMath>
      <w:r>
        <w:t xml:space="preserve">, where </w:t>
      </w:r>
      <m:oMath>
        <m:r>
          <w:rPr>
            <w:rFonts w:ascii="Latin Modern Math" w:hAnsi="Latin Modern Math"/>
          </w:rPr>
          <m:t>U</m:t>
        </m:r>
      </m:oMath>
      <w:r>
        <w:t xml:space="preserve"> is the expected number of new mutations in offspring. Further, they showed that mean fitness at mutation-selection balance is equal to </w:t>
      </w:r>
      <m:oMath>
        <m:sSup>
          <m:sSupPr>
            <m:ctrlPr>
              <w:rPr>
                <w:rFonts w:ascii="Latin Modern Math" w:hAnsi="Latin Modern Math"/>
              </w:rPr>
            </m:ctrlPr>
          </m:sSupPr>
          <m:e>
            <m:r>
              <w:rPr>
                <w:rFonts w:ascii="Latin Modern Math" w:hAnsi="Latin Modern Math"/>
              </w:rPr>
              <m:t>e</m:t>
            </m:r>
          </m:e>
          <m:sup>
            <m:r>
              <m:rPr>
                <m:sty m:val="p"/>
              </m:rPr>
              <w:rPr>
                <w:rFonts w:ascii="Latin Modern Math" w:hAnsi="Latin Modern Math"/>
              </w:rPr>
              <m:t>-</m:t>
            </m:r>
            <m:r>
              <w:rPr>
                <w:rFonts w:ascii="Latin Modern Math" w:hAnsi="Latin Modern Math"/>
              </w:rPr>
              <m:t>U</m:t>
            </m:r>
          </m:sup>
        </m:sSup>
      </m:oMath>
      <w:r>
        <w:t>, assuming that selection is weak (</w:t>
      </w:r>
      <w:hyperlink w:anchor="fig-6-1">
        <w:r>
          <w:rPr>
            <w:rStyle w:val="Hyperlink"/>
          </w:rPr>
          <w:t>Figure 6.1</w:t>
        </w:r>
      </w:hyperlink>
      <w:r>
        <w:t>). Following Kimura and Maruyama’s results, John Haigh showed further that the number of individuals in the least-loaded class (</w:t>
      </w:r>
      <m:oMath>
        <m:sSub>
          <m:sSubPr>
            <m:ctrlPr>
              <w:rPr>
                <w:rFonts w:ascii="Latin Modern Math" w:hAnsi="Latin Modern Math"/>
              </w:rPr>
            </m:ctrlPr>
          </m:sSubPr>
          <m:e>
            <m:r>
              <w:rPr>
                <w:rFonts w:ascii="Latin Modern Math" w:hAnsi="Latin Modern Math"/>
              </w:rPr>
              <m:t>n</m:t>
            </m:r>
          </m:e>
          <m:sub>
            <m:r>
              <w:rPr>
                <w:rFonts w:ascii="Latin Modern Math" w:hAnsi="Latin Modern Math"/>
              </w:rPr>
              <m:t>0</m:t>
            </m:r>
          </m:sub>
        </m:sSub>
      </m:oMath>
      <w:r>
        <w:t xml:space="preserve">) at mutation-selection balance is: </w:t>
      </w:r>
      <m:oMath>
        <m:sSub>
          <m:sSubPr>
            <m:ctrlPr>
              <w:rPr>
                <w:rFonts w:ascii="Latin Modern Math" w:hAnsi="Latin Modern Math"/>
              </w:rPr>
            </m:ctrlPr>
          </m:sSubPr>
          <m:e>
            <m:r>
              <w:rPr>
                <w:rFonts w:ascii="Latin Modern Math" w:hAnsi="Latin Modern Math"/>
              </w:rPr>
              <m:t>n</m:t>
            </m:r>
          </m:e>
          <m:sub>
            <m:r>
              <w:rPr>
                <w:rFonts w:ascii="Latin Modern Math" w:hAnsi="Latin Modern Math"/>
              </w:rPr>
              <m:t>0</m:t>
            </m:r>
          </m:sub>
        </m:sSub>
        <m:r>
          <m:rPr>
            <m:sty m:val="p"/>
          </m:rPr>
          <w:rPr>
            <w:rFonts w:ascii="Latin Modern Math" w:hAnsi="Latin Modern Math"/>
          </w:rPr>
          <m:t>=</m:t>
        </m:r>
        <m:r>
          <w:rPr>
            <w:rFonts w:ascii="Latin Modern Math" w:hAnsi="Latin Modern Math"/>
          </w:rPr>
          <m:t>N</m:t>
        </m:r>
        <m:sSup>
          <m:sSupPr>
            <m:ctrlPr>
              <w:rPr>
                <w:rFonts w:ascii="Latin Modern Math" w:hAnsi="Latin Modern Math"/>
              </w:rPr>
            </m:ctrlPr>
          </m:sSupPr>
          <m:e>
            <m:r>
              <w:rPr>
                <w:rFonts w:ascii="Latin Modern Math" w:hAnsi="Latin Modern Math"/>
              </w:rPr>
              <m:t>e</m:t>
            </m:r>
          </m:e>
          <m:sup>
            <m:r>
              <m:rPr>
                <m:sty m:val="p"/>
              </m:rPr>
              <w:rPr>
                <w:rFonts w:ascii="Latin Modern Math" w:hAnsi="Latin Modern Math"/>
              </w:rPr>
              <m:t>-</m:t>
            </m:r>
            <m:r>
              <w:rPr>
                <w:rFonts w:ascii="Latin Modern Math" w:hAnsi="Latin Modern Math"/>
              </w:rPr>
              <m:t>U</m:t>
            </m:r>
            <m:r>
              <m:rPr>
                <m:sty m:val="p"/>
              </m:rPr>
              <w:rPr>
                <w:rFonts w:ascii="Latin Modern Math" w:hAnsi="Latin Modern Math"/>
              </w:rPr>
              <m:t>/</m:t>
            </m:r>
            <m:r>
              <w:rPr>
                <w:rFonts w:ascii="Latin Modern Math" w:hAnsi="Latin Modern Math"/>
              </w:rPr>
              <m:t>s</m:t>
            </m:r>
          </m:sup>
        </m:sSup>
      </m:oMath>
      <w:r>
        <w:t xml:space="preserve"> where </w:t>
      </w:r>
      <m:oMath>
        <m:r>
          <w:rPr>
            <w:rFonts w:ascii="Latin Modern Math" w:hAnsi="Latin Modern Math"/>
          </w:rPr>
          <m:t>N</m:t>
        </m:r>
      </m:oMath>
      <w:r>
        <w:t xml:space="preserve"> is the total population size (</w:t>
      </w:r>
      <w:hyperlink w:anchor="ref-haigh1978a">
        <w:r>
          <w:rPr>
            <w:rStyle w:val="Hyperlink"/>
          </w:rPr>
          <w:t>Haigh 1978</w:t>
        </w:r>
      </w:hyperlink>
      <w:r>
        <w:t>). Keep in mind that the number of individuals in the least-loaded class (</w:t>
      </w:r>
      <m:oMath>
        <m:sSub>
          <m:sSubPr>
            <m:ctrlPr>
              <w:rPr>
                <w:rFonts w:ascii="Latin Modern Math" w:hAnsi="Latin Modern Math"/>
              </w:rPr>
            </m:ctrlPr>
          </m:sSubPr>
          <m:e>
            <m:r>
              <w:rPr>
                <w:rFonts w:ascii="Latin Modern Math" w:hAnsi="Latin Modern Math"/>
              </w:rPr>
              <m:t>n</m:t>
            </m:r>
          </m:e>
          <m:sub>
            <m:r>
              <w:rPr>
                <w:rFonts w:ascii="Latin Modern Math" w:hAnsi="Latin Modern Math"/>
              </w:rPr>
              <m:t>0</m:t>
            </m:r>
          </m:sub>
        </m:sSub>
      </m:oMath>
      <w:r>
        <w:t>) is an especially important value, because the smaller the number, the easier it is to lose it by drift, resulting in one click of the ratchet. Haigh also showed that, once the ratchet clicks, the original (Poisson) distribution of mutations is reset, where the mean of the distribution is increased by one (</w:t>
      </w:r>
      <w:hyperlink w:anchor="fig-6-2">
        <w:r>
          <w:rPr>
            <w:rStyle w:val="Hyperlink"/>
          </w:rPr>
          <w:t>Figure 6.2</w:t>
        </w:r>
      </w:hyperlink>
      <w:r>
        <w:t xml:space="preserve">). Critically, Haigh’s result suggests that </w:t>
      </w:r>
      <m:oMath>
        <m:sSub>
          <m:sSubPr>
            <m:ctrlPr>
              <w:rPr>
                <w:rFonts w:ascii="Latin Modern Math" w:hAnsi="Latin Modern Math"/>
              </w:rPr>
            </m:ctrlPr>
          </m:sSubPr>
          <m:e>
            <m:r>
              <w:rPr>
                <w:rFonts w:ascii="Latin Modern Math" w:hAnsi="Latin Modern Math"/>
              </w:rPr>
              <m:t>n</m:t>
            </m:r>
          </m:e>
          <m:sub>
            <m:r>
              <w:rPr>
                <w:rFonts w:ascii="Latin Modern Math" w:hAnsi="Latin Modern Math"/>
              </w:rPr>
              <m:t>0</m:t>
            </m:r>
          </m:sub>
        </m:sSub>
      </m:oMath>
      <w:r>
        <w:t xml:space="preserve"> can be fewer than 10 individuals, even for very large population sizes. The ratchet seems unavoidable.</w:t>
      </w:r>
    </w:p>
    <w:tbl>
      <w:tblPr>
        <w:tblStyle w:val="Table"/>
        <w:tblW w:w="5000" w:type="pct"/>
        <w:tblLayout w:type="fixed"/>
        <w:tblLook w:val="0000" w:firstRow="0" w:lastRow="0" w:firstColumn="0" w:lastColumn="0" w:noHBand="0" w:noVBand="0"/>
      </w:tblPr>
      <w:tblGrid>
        <w:gridCol w:w="9360"/>
      </w:tblGrid>
      <w:tr w:rsidR="00FD0189" w14:paraId="233A0728" w14:textId="77777777">
        <w:tc>
          <w:tcPr>
            <w:tcW w:w="7920" w:type="dxa"/>
          </w:tcPr>
          <w:p w14:paraId="612B8FFB" w14:textId="77777777" w:rsidR="00FD0189" w:rsidRDefault="00000000">
            <w:pPr>
              <w:pStyle w:val="Compact"/>
              <w:jc w:val="center"/>
            </w:pPr>
            <w:bookmarkStart w:id="105" w:name="fig-6-1"/>
            <w:r>
              <w:rPr>
                <w:noProof/>
              </w:rPr>
              <w:drawing>
                <wp:inline distT="0" distB="0" distL="0" distR="0" wp14:anchorId="2EBCD010" wp14:editId="083DB1CB">
                  <wp:extent cx="4754880" cy="2959593"/>
                  <wp:effectExtent l="0" t="0" r="0" b="0"/>
                  <wp:docPr id="242" name="Picture" descr="Two data visualizations of fitness as a function of the number of mutations assuming independent effects. The top figure shows mean fitness at mutation-selection balance. The bottom figure shows the distribution of mutations at mutation-selection balance."/>
                  <wp:cNvGraphicFramePr/>
                  <a:graphic xmlns:a="http://schemas.openxmlformats.org/drawingml/2006/main">
                    <a:graphicData uri="http://schemas.openxmlformats.org/drawingml/2006/picture">
                      <pic:pic xmlns:pic="http://schemas.openxmlformats.org/drawingml/2006/picture">
                        <pic:nvPicPr>
                          <pic:cNvPr id="242" name="Picture" descr="Two data visualizations of fitness as a function of the number of mutations assuming independent effects. The top figure shows mean fitness at mutation-selection balance. The bottom figure shows the distribution of mutations at mutation-selection balance."/>
                          <pic:cNvPicPr>
                            <a:picLocks noChangeAspect="1" noChangeArrowheads="1"/>
                          </pic:cNvPicPr>
                        </pic:nvPicPr>
                        <pic:blipFill>
                          <a:blip r:embed="rId63"/>
                          <a:stretch>
                            <a:fillRect/>
                          </a:stretch>
                        </pic:blipFill>
                        <pic:spPr bwMode="auto">
                          <a:xfrm>
                            <a:off x="0" y="0"/>
                            <a:ext cx="4754880" cy="2959593"/>
                          </a:xfrm>
                          <a:prstGeom prst="rect">
                            <a:avLst/>
                          </a:prstGeom>
                          <a:noFill/>
                          <a:ln w="9525">
                            <a:noFill/>
                            <a:headEnd/>
                            <a:tailEnd/>
                          </a:ln>
                        </pic:spPr>
                      </pic:pic>
                    </a:graphicData>
                  </a:graphic>
                </wp:inline>
              </w:drawing>
            </w:r>
          </w:p>
          <w:p w14:paraId="5F3F8765" w14:textId="77777777" w:rsidR="00FD0189" w:rsidRDefault="00000000">
            <w:pPr>
              <w:pStyle w:val="ImageCaption"/>
              <w:spacing w:before="200"/>
            </w:pPr>
            <w:r>
              <w:t xml:space="preserve">Figure 6.1: </w:t>
            </w:r>
            <w:r>
              <w:rPr>
                <w:b/>
                <w:bCs/>
              </w:rPr>
              <w:t>A.</w:t>
            </w:r>
            <w:r>
              <w:t xml:space="preserve"> Fitness as a function of the number of mutations assuming independent effects. </w:t>
            </w:r>
            <w:r>
              <w:rPr>
                <w:b/>
                <w:bCs/>
              </w:rPr>
              <w:t>B.</w:t>
            </w:r>
            <w:r>
              <w:t xml:space="preserve"> The distribution of mutations at mutation-selection balance. Note that the number of </w:t>
            </w:r>
            <w:r>
              <w:lastRenderedPageBreak/>
              <w:t xml:space="preserve">individuals in the least-loaded class is </w:t>
            </w:r>
            <m:oMath>
              <m:r>
                <w:rPr>
                  <w:rFonts w:ascii="Latin Modern Math" w:hAnsi="Latin Modern Math"/>
                </w:rPr>
                <m:t>N</m:t>
              </m:r>
              <m:sSup>
                <m:sSupPr>
                  <m:ctrlPr>
                    <w:rPr>
                      <w:rFonts w:ascii="Latin Modern Math" w:hAnsi="Latin Modern Math"/>
                    </w:rPr>
                  </m:ctrlPr>
                </m:sSupPr>
                <m:e>
                  <m:r>
                    <w:rPr>
                      <w:rFonts w:ascii="Latin Modern Math" w:hAnsi="Latin Modern Math"/>
                    </w:rPr>
                    <m:t>e</m:t>
                  </m:r>
                </m:e>
                <m:sup>
                  <m:r>
                    <m:rPr>
                      <m:sty m:val="p"/>
                    </m:rPr>
                    <w:rPr>
                      <w:rFonts w:ascii="Latin Modern Math" w:hAnsi="Latin Modern Math"/>
                    </w:rPr>
                    <m:t>-</m:t>
                  </m:r>
                  <m:r>
                    <w:rPr>
                      <w:rFonts w:ascii="Latin Modern Math" w:hAnsi="Latin Modern Math"/>
                    </w:rPr>
                    <m:t>U</m:t>
                  </m:r>
                  <m:r>
                    <m:rPr>
                      <m:sty m:val="p"/>
                    </m:rPr>
                    <w:rPr>
                      <w:rFonts w:ascii="Latin Modern Math" w:hAnsi="Latin Modern Math"/>
                    </w:rPr>
                    <m:t>/</m:t>
                  </m:r>
                  <m:r>
                    <w:rPr>
                      <w:rFonts w:ascii="Latin Modern Math" w:hAnsi="Latin Modern Math"/>
                    </w:rPr>
                    <m:t>s</m:t>
                  </m:r>
                </m:sup>
              </m:sSup>
            </m:oMath>
            <w:r>
              <w:t>, which can be a small number. The rat</w:t>
            </w:r>
            <w:proofErr w:type="spellStart"/>
            <w:r>
              <w:t>chet</w:t>
            </w:r>
            <w:proofErr w:type="spellEnd"/>
            <w:r>
              <w:t xml:space="preserve"> clicks whenever the least-loaded class is lost by chance.</w:t>
            </w:r>
          </w:p>
        </w:tc>
        <w:bookmarkEnd w:id="105"/>
      </w:tr>
    </w:tbl>
    <w:p w14:paraId="04315EBB" w14:textId="77777777" w:rsidR="00FD0189" w:rsidRDefault="00000000">
      <w:pPr>
        <w:pStyle w:val="BodyText"/>
      </w:pPr>
      <w:r>
        <w:lastRenderedPageBreak/>
        <w:t xml:space="preserve"> </w:t>
      </w:r>
    </w:p>
    <w:tbl>
      <w:tblPr>
        <w:tblStyle w:val="Table"/>
        <w:tblW w:w="5000" w:type="pct"/>
        <w:tblLayout w:type="fixed"/>
        <w:tblLook w:val="0000" w:firstRow="0" w:lastRow="0" w:firstColumn="0" w:lastColumn="0" w:noHBand="0" w:noVBand="0"/>
      </w:tblPr>
      <w:tblGrid>
        <w:gridCol w:w="9360"/>
      </w:tblGrid>
      <w:tr w:rsidR="00FD0189" w14:paraId="0F97F7F6" w14:textId="77777777">
        <w:tc>
          <w:tcPr>
            <w:tcW w:w="7920" w:type="dxa"/>
          </w:tcPr>
          <w:p w14:paraId="750BCD33" w14:textId="77777777" w:rsidR="00FD0189" w:rsidRDefault="00000000">
            <w:pPr>
              <w:pStyle w:val="Compact"/>
              <w:jc w:val="center"/>
            </w:pPr>
            <w:bookmarkStart w:id="106" w:name="fig-6-2"/>
            <w:r>
              <w:rPr>
                <w:noProof/>
              </w:rPr>
              <w:drawing>
                <wp:inline distT="0" distB="0" distL="0" distR="0" wp14:anchorId="7B0CC902" wp14:editId="70D5F6A3">
                  <wp:extent cx="4754880" cy="2931038"/>
                  <wp:effectExtent l="0" t="0" r="0" b="0"/>
                  <wp:docPr id="246" name="Picture" descr="Data visualization showing the distribution of mutations at time zero and 400 generations later. The greater number of mutations at generation 400 is due to mutation accumulation via Muller's Ratchet."/>
                  <wp:cNvGraphicFramePr/>
                  <a:graphic xmlns:a="http://schemas.openxmlformats.org/drawingml/2006/main">
                    <a:graphicData uri="http://schemas.openxmlformats.org/drawingml/2006/picture">
                      <pic:pic xmlns:pic="http://schemas.openxmlformats.org/drawingml/2006/picture">
                        <pic:nvPicPr>
                          <pic:cNvPr id="246" name="Picture" descr="Data visualization showing the distribution of mutations at time zero and 400 generations later. The greater number of mutations at generation 400 is due to mutation accumulation via Muller's Ratchet."/>
                          <pic:cNvPicPr>
                            <a:picLocks noChangeAspect="1" noChangeArrowheads="1"/>
                          </pic:cNvPicPr>
                        </pic:nvPicPr>
                        <pic:blipFill>
                          <a:blip r:embed="rId64"/>
                          <a:stretch>
                            <a:fillRect/>
                          </a:stretch>
                        </pic:blipFill>
                        <pic:spPr bwMode="auto">
                          <a:xfrm>
                            <a:off x="0" y="0"/>
                            <a:ext cx="4754880" cy="2931038"/>
                          </a:xfrm>
                          <a:prstGeom prst="rect">
                            <a:avLst/>
                          </a:prstGeom>
                          <a:noFill/>
                          <a:ln w="9525">
                            <a:noFill/>
                            <a:headEnd/>
                            <a:tailEnd/>
                          </a:ln>
                        </pic:spPr>
                      </pic:pic>
                    </a:graphicData>
                  </a:graphic>
                </wp:inline>
              </w:drawing>
            </w:r>
          </w:p>
          <w:p w14:paraId="60CC103E" w14:textId="77777777" w:rsidR="00FD0189" w:rsidRDefault="00000000">
            <w:pPr>
              <w:pStyle w:val="ImageCaption"/>
              <w:spacing w:before="200"/>
            </w:pPr>
            <w:r>
              <w:t>Figure 6.2: The distribution of mutations at two time points, following Haigh’s (</w:t>
            </w:r>
            <w:hyperlink w:anchor="ref-haigh1978a">
              <w:r>
                <w:rPr>
                  <w:rStyle w:val="Hyperlink"/>
                </w:rPr>
                <w:t>1978</w:t>
              </w:r>
            </w:hyperlink>
            <w:r>
              <w:t xml:space="preserve">) simulation results for </w:t>
            </w:r>
            <m:oMath>
              <m:r>
                <w:rPr>
                  <w:rFonts w:ascii="Latin Modern Math" w:hAnsi="Latin Modern Math"/>
                </w:rPr>
                <m:t>N</m:t>
              </m:r>
              <m:r>
                <m:rPr>
                  <m:sty m:val="p"/>
                </m:rPr>
                <w:rPr>
                  <w:rFonts w:ascii="Latin Modern Math" w:hAnsi="Latin Modern Math"/>
                </w:rPr>
                <m:t>=</m:t>
              </m:r>
              <m:r>
                <w:rPr>
                  <w:rFonts w:ascii="Latin Modern Math" w:hAnsi="Latin Modern Math"/>
                </w:rPr>
                <m:t>100</m:t>
              </m:r>
              <m:r>
                <m:rPr>
                  <m:sty m:val="p"/>
                </m:rPr>
                <w:rPr>
                  <w:rFonts w:ascii="Latin Modern Math" w:hAnsi="Latin Modern Math"/>
                </w:rPr>
                <m:t>,</m:t>
              </m:r>
              <m:r>
                <w:rPr>
                  <w:rFonts w:ascii="Latin Modern Math" w:hAnsi="Latin Modern Math"/>
                </w:rPr>
                <m:t>000</m:t>
              </m:r>
            </m:oMath>
            <w:r>
              <w:t xml:space="preserve">, </w:t>
            </w:r>
            <m:oMath>
              <m:r>
                <w:rPr>
                  <w:rFonts w:ascii="Latin Modern Math" w:hAnsi="Latin Modern Math"/>
                </w:rPr>
                <m:t>s</m:t>
              </m:r>
              <m:r>
                <m:rPr>
                  <m:sty m:val="p"/>
                </m:rPr>
                <w:rPr>
                  <w:rFonts w:ascii="Latin Modern Math" w:hAnsi="Latin Modern Math"/>
                </w:rPr>
                <m:t>=</m:t>
              </m:r>
              <m:r>
                <w:rPr>
                  <w:rFonts w:ascii="Latin Modern Math" w:hAnsi="Latin Modern Math"/>
                </w:rPr>
                <m:t>0.02</m:t>
              </m:r>
            </m:oMath>
            <w:r>
              <w:t xml:space="preserve">, and </w:t>
            </w:r>
            <m:oMath>
              <m:r>
                <w:rPr>
                  <w:rFonts w:ascii="Latin Modern Math" w:hAnsi="Latin Modern Math"/>
                </w:rPr>
                <m:t>U</m:t>
              </m:r>
              <m:r>
                <m:rPr>
                  <m:sty m:val="p"/>
                </m:rPr>
                <w:rPr>
                  <w:rFonts w:ascii="Latin Modern Math" w:hAnsi="Latin Modern Math"/>
                </w:rPr>
                <m:t>=</m:t>
              </m:r>
              <m:r>
                <w:rPr>
                  <w:rFonts w:ascii="Latin Modern Math" w:hAnsi="Latin Modern Math"/>
                </w:rPr>
                <m:t>0.2</m:t>
              </m:r>
            </m:oMath>
            <w:r>
              <w:t>. The blue line shows the distribution of mutational classes before the operation of the ratchet. The red line shows the distribution after 400 generations, following four clicks of the ratchet. The number of individuals in the LLC is five at both time points. Mean fitness (</w:t>
            </w:r>
            <m:oMath>
              <m:acc>
                <m:accPr>
                  <m:chr m:val="‾"/>
                  <m:ctrlPr>
                    <w:rPr>
                      <w:rFonts w:ascii="Latin Modern Math" w:hAnsi="Latin Modern Math"/>
                    </w:rPr>
                  </m:ctrlPr>
                </m:accPr>
                <m:e>
                  <m:r>
                    <w:rPr>
                      <w:rFonts w:ascii="Latin Modern Math" w:hAnsi="Latin Modern Math"/>
                    </w:rPr>
                    <m:t>w</m:t>
                  </m:r>
                </m:e>
              </m:acc>
            </m:oMath>
            <w:r>
              <w:t>) is relative to individuals with zero mutations.</w:t>
            </w:r>
          </w:p>
        </w:tc>
        <w:bookmarkEnd w:id="106"/>
      </w:tr>
    </w:tbl>
    <w:p w14:paraId="54105F40" w14:textId="77777777" w:rsidR="00FD0189" w:rsidRDefault="00000000">
      <w:pPr>
        <w:pStyle w:val="BodyText"/>
      </w:pPr>
      <w:r>
        <w:t>Happily, Steve’s simulation converged on the analytically derived values for the mean number of mutations and the mean fitness at mutation-selection balance. Now for the more difficult part. Does host-parasite coevolution accelerate the accumulation of mutations in clonal lineages? Does the combination of the ratchet and the Red Queen lead to extinction of the clone before it eliminates its sexual competitors? Note that the simulation made the conservative assumption that infected individuals in the most-loaded class had the same fitness as infected individuals in the LLC. In other words, infection was not more severe in individuals having more mutations.</w:t>
      </w:r>
    </w:p>
    <w:p w14:paraId="1322EDA6" w14:textId="77777777" w:rsidR="00FD0189" w:rsidRDefault="00000000">
      <w:pPr>
        <w:pStyle w:val="BodyText"/>
      </w:pPr>
      <w:r>
        <w:t>Steve’s simulations showed that, in the absence of parasites, an initially rare clone went to fixation in fewer than 50 generations, thereby driving the sexual population extinct (</w:t>
      </w:r>
      <w:hyperlink w:anchor="ref-howard1994a">
        <w:r>
          <w:rPr>
            <w:rStyle w:val="Hyperlink"/>
          </w:rPr>
          <w:t>Howard &amp; Lively 1994b</w:t>
        </w:r>
      </w:hyperlink>
      <w:r>
        <w:t>).</w:t>
      </w:r>
      <w:r>
        <w:rPr>
          <w:rStyle w:val="FootnoteReference"/>
        </w:rPr>
        <w:footnoteReference w:id="51"/>
      </w:r>
      <w:r>
        <w:t xml:space="preserve"> However, after about 500 generations, the clone also went extinct due to the accumulation of mutations via the ratchet. Hence, the ratchet was sufficient to take out the clone, </w:t>
      </w:r>
      <w:r>
        <w:lastRenderedPageBreak/>
        <w:t>but not before the clone replaced the entire sexual population. In the presence of parasites, but without the ratchet, the clone also rapidly replaced the sexual subpopulation, and the clone’s descendants remained at carrying capacity for the duration of the simulation (</w:t>
      </w:r>
      <w:hyperlink w:anchor="fig-6-3">
        <w:r>
          <w:rPr>
            <w:rStyle w:val="Hyperlink"/>
          </w:rPr>
          <w:t>Figure 6.3</w:t>
        </w:r>
      </w:hyperlink>
      <w:r>
        <w:t>).</w:t>
      </w:r>
    </w:p>
    <w:tbl>
      <w:tblPr>
        <w:tblStyle w:val="Table"/>
        <w:tblW w:w="5000" w:type="pct"/>
        <w:tblLayout w:type="fixed"/>
        <w:tblLook w:val="0000" w:firstRow="0" w:lastRow="0" w:firstColumn="0" w:lastColumn="0" w:noHBand="0" w:noVBand="0"/>
      </w:tblPr>
      <w:tblGrid>
        <w:gridCol w:w="9360"/>
      </w:tblGrid>
      <w:tr w:rsidR="00FD0189" w14:paraId="2BE0069D" w14:textId="77777777">
        <w:tc>
          <w:tcPr>
            <w:tcW w:w="7920" w:type="dxa"/>
          </w:tcPr>
          <w:p w14:paraId="3E03B326" w14:textId="77777777" w:rsidR="00FD0189" w:rsidRDefault="00000000">
            <w:pPr>
              <w:pStyle w:val="Compact"/>
              <w:jc w:val="center"/>
            </w:pPr>
            <w:bookmarkStart w:id="107" w:name="fig-6-3"/>
            <w:r>
              <w:rPr>
                <w:noProof/>
              </w:rPr>
              <w:drawing>
                <wp:inline distT="0" distB="0" distL="0" distR="0" wp14:anchorId="6D0C6596" wp14:editId="3EC93425">
                  <wp:extent cx="3566160" cy="4615030"/>
                  <wp:effectExtent l="0" t="0" r="0" b="0"/>
                  <wp:docPr id="251" name="Picture" descr="Data visualization showing the number of asexuals over time under three conditions: (1) parasites, but no mutation, (2) mutation, but no parasites, and (3) both parasites and mutation."/>
                  <wp:cNvGraphicFramePr/>
                  <a:graphic xmlns:a="http://schemas.openxmlformats.org/drawingml/2006/main">
                    <a:graphicData uri="http://schemas.openxmlformats.org/drawingml/2006/picture">
                      <pic:pic xmlns:pic="http://schemas.openxmlformats.org/drawingml/2006/picture">
                        <pic:nvPicPr>
                          <pic:cNvPr id="251" name="Picture" descr="Data visualization showing the number of asexuals over time under three conditions: (1) parasites, but no mutation, (2) mutation, but no parasites, and (3) both parasites and mutation."/>
                          <pic:cNvPicPr>
                            <a:picLocks noChangeAspect="1" noChangeArrowheads="1"/>
                          </pic:cNvPicPr>
                        </pic:nvPicPr>
                        <pic:blipFill>
                          <a:blip r:embed="rId65"/>
                          <a:stretch>
                            <a:fillRect/>
                          </a:stretch>
                        </pic:blipFill>
                        <pic:spPr bwMode="auto">
                          <a:xfrm>
                            <a:off x="0" y="0"/>
                            <a:ext cx="3566160" cy="4615030"/>
                          </a:xfrm>
                          <a:prstGeom prst="rect">
                            <a:avLst/>
                          </a:prstGeom>
                          <a:noFill/>
                          <a:ln w="9525">
                            <a:noFill/>
                            <a:headEnd/>
                            <a:tailEnd/>
                          </a:ln>
                        </pic:spPr>
                      </pic:pic>
                    </a:graphicData>
                  </a:graphic>
                </wp:inline>
              </w:drawing>
            </w:r>
          </w:p>
          <w:p w14:paraId="2EFC9B56" w14:textId="77777777" w:rsidR="00FD0189" w:rsidRDefault="00000000">
            <w:pPr>
              <w:pStyle w:val="ImageCaption"/>
              <w:spacing w:before="200"/>
            </w:pPr>
            <w:r>
              <w:t>Figure 6.3: Representative simulation results. The green line shows a simulation for hosts infected with coevolving parasites, but in the absence of deleterious mutations. Virulence and transmission were both moderate (</w:t>
            </w:r>
            <m:oMath>
              <m:r>
                <m:rPr>
                  <m:sty m:val="p"/>
                </m:rPr>
                <w:rPr>
                  <w:rFonts w:ascii="Latin Modern Math" w:hAnsi="Latin Modern Math"/>
                </w:rPr>
                <m:t>=</m:t>
              </m:r>
              <m:r>
                <w:rPr>
                  <w:rFonts w:ascii="Latin Modern Math" w:hAnsi="Latin Modern Math"/>
                </w:rPr>
                <m:t>0.5</m:t>
              </m:r>
            </m:oMath>
            <w:r>
              <w:t xml:space="preserve">). Under these conditions, the sexual hosts were eliminated by the clone. The blue line shows a case without parasites in which mutations occur with a probability of 0.5 per genome per generation </w:t>
            </w:r>
            <m:oMath>
              <m:d>
                <m:dPr>
                  <m:ctrlPr>
                    <w:rPr>
                      <w:rFonts w:ascii="Latin Modern Math" w:hAnsi="Latin Modern Math"/>
                    </w:rPr>
                  </m:ctrlPr>
                </m:dPr>
                <m:e>
                  <m:r>
                    <w:rPr>
                      <w:rFonts w:ascii="Latin Modern Math" w:hAnsi="Latin Modern Math"/>
                    </w:rPr>
                    <m:t>U</m:t>
                  </m:r>
                  <m:r>
                    <m:rPr>
                      <m:sty m:val="p"/>
                    </m:rPr>
                    <w:rPr>
                      <w:rFonts w:ascii="Latin Modern Math" w:hAnsi="Latin Modern Math"/>
                    </w:rPr>
                    <m:t>=</m:t>
                  </m:r>
                  <m:r>
                    <w:rPr>
                      <w:rFonts w:ascii="Latin Modern Math" w:hAnsi="Latin Modern Math"/>
                    </w:rPr>
                    <m:t>0.5</m:t>
                  </m:r>
                </m:e>
              </m:d>
            </m:oMath>
            <w:r>
              <w:t xml:space="preserve">, and selection against mutation is </w:t>
            </w:r>
            <m:oMath>
              <m:r>
                <w:rPr>
                  <w:rFonts w:ascii="Latin Modern Math" w:hAnsi="Latin Modern Math"/>
                </w:rPr>
                <m:t>s</m:t>
              </m:r>
              <m:r>
                <m:rPr>
                  <m:sty m:val="p"/>
                </m:rPr>
                <w:rPr>
                  <w:rFonts w:ascii="Latin Modern Math" w:hAnsi="Latin Modern Math"/>
                </w:rPr>
                <m:t>=</m:t>
              </m:r>
              <m:r>
                <w:rPr>
                  <w:rFonts w:ascii="Latin Modern Math" w:hAnsi="Latin Modern Math"/>
                </w:rPr>
                <m:t>0.025</m:t>
              </m:r>
            </m:oMath>
            <w:r>
              <w:t>. Again, the clone goes to fixation, but it is later eliminated by Muller’s ratchet. The red line shows a case where both mutations and coevolving parasites were included. Here, the clone did not replace the sexual population but rather oscillated in frequency, which led to more rapid mutation accumulation and elimination of the clone. Redrawn from Howard and Lively (</w:t>
            </w:r>
            <w:hyperlink w:anchor="ref-howard1994b">
              <w:r>
                <w:rPr>
                  <w:rStyle w:val="Hyperlink"/>
                </w:rPr>
                <w:t>1994a</w:t>
              </w:r>
            </w:hyperlink>
            <w:r>
              <w:t>).</w:t>
            </w:r>
          </w:p>
        </w:tc>
        <w:bookmarkEnd w:id="107"/>
      </w:tr>
    </w:tbl>
    <w:p w14:paraId="4C6A7CBE" w14:textId="77777777" w:rsidR="00FD0189" w:rsidRDefault="00000000">
      <w:pPr>
        <w:pStyle w:val="BodyText"/>
      </w:pPr>
      <w:r>
        <w:t xml:space="preserve">By contrast, when parasites were combined with the ratchet, sexual reproduction was initially invaded by the clone, but the clone did not replace the </w:t>
      </w:r>
      <w:proofErr w:type="spellStart"/>
      <w:r>
        <w:t>sexuals</w:t>
      </w:r>
      <w:proofErr w:type="spellEnd"/>
      <w:r>
        <w:t>. How does that work? The clone was initiated with a small number of individuals (</w:t>
      </w:r>
      <m:oMath>
        <m:r>
          <w:rPr>
            <w:rFonts w:ascii="Latin Modern Math" w:hAnsi="Latin Modern Math"/>
          </w:rPr>
          <m:t>N</m:t>
        </m:r>
        <m:r>
          <m:rPr>
            <m:sty m:val="p"/>
          </m:rPr>
          <w:rPr>
            <w:rFonts w:ascii="Latin Modern Math" w:hAnsi="Latin Modern Math"/>
          </w:rPr>
          <m:t>=</m:t>
        </m:r>
        <m:r>
          <w:rPr>
            <w:rFonts w:ascii="Latin Modern Math" w:hAnsi="Latin Modern Math"/>
          </w:rPr>
          <m:t>20</m:t>
        </m:r>
      </m:oMath>
      <w:r>
        <w:t>) at mutation-selection balan</w:t>
      </w:r>
      <w:proofErr w:type="spellStart"/>
      <w:r>
        <w:t>ce</w:t>
      </w:r>
      <w:proofErr w:type="spellEnd"/>
      <w:r>
        <w:t xml:space="preserve">. The </w:t>
      </w:r>
      <w:r>
        <w:lastRenderedPageBreak/>
        <w:t xml:space="preserve">clone then increased when rare, but as the clone spread in the population, the ratchet was already working to reduce the two-fold cost of males (see </w:t>
      </w:r>
      <w:hyperlink w:anchor="sec-why-sex">
        <w:r>
          <w:rPr>
            <w:rStyle w:val="Hyperlink"/>
          </w:rPr>
          <w:t>Chapter 1</w:t>
        </w:r>
      </w:hyperlink>
      <w:r>
        <w:t>). In addition, as the clone became common, the parasite population rapidly evolved to infect it. This combination of the ratchet and parasite-mediated frequency-dependent selection prevented the clone from fixing in the short term. The clone then began to oscillate in frequency over time. Importantly, every time the clone was driven to a low frequency by parasites, the dip was lower than in previous years. Hence, the number of individuals in the LLC decreased, thereby allowing for a more rapid operation of the ratchet. The clone is toast. Eventually the clone undergoes a mutational meltdown and goes extinct (</w:t>
      </w:r>
      <w:hyperlink w:anchor="ref-lynch1990a">
        <w:r>
          <w:rPr>
            <w:rStyle w:val="Hyperlink"/>
          </w:rPr>
          <w:t>Lynch &amp; Gabriel 1990</w:t>
        </w:r>
      </w:hyperlink>
      <w:r>
        <w:t>).</w:t>
      </w:r>
      <w:r>
        <w:rPr>
          <w:rStyle w:val="FootnoteReference"/>
        </w:rPr>
        <w:footnoteReference w:id="52"/>
      </w:r>
      <w:r>
        <w:t xml:space="preserve"> This example provides a proof of concept that host-parasite coevolution can work in a synergistic way with Muller’s ratchet to prevent fixation of the clone in the short term (&lt;20 generations) and to ensure the elimination of the clone in the longer term.</w:t>
      </w:r>
    </w:p>
    <w:p w14:paraId="2C405858" w14:textId="77777777" w:rsidR="00FD0189" w:rsidRDefault="00000000">
      <w:pPr>
        <w:pStyle w:val="BodyText"/>
      </w:pPr>
      <w:r>
        <w:t>To get a better feeling of the parameter space over which the ratchet and the Red Queen could work to select for sex over the long term, Steve explored different combinations of mutation rate, selection against mutation, parasite virulence, and parasite transmission. In the absence of mutation, the results showed that sexual reproduction was evolutionarily stable only when parasites were both extremely virulent and highly transmissible (</w:t>
      </w:r>
      <w:hyperlink w:anchor="fig-6-4">
        <w:r>
          <w:rPr>
            <w:rStyle w:val="Hyperlink"/>
          </w:rPr>
          <w:t>Figure 6.4</w:t>
        </w:r>
      </w:hyperlink>
      <w:r>
        <w:t>). This result was consistent with the model of May and Anderson (</w:t>
      </w:r>
      <w:hyperlink w:anchor="ref-may1983a">
        <w:r>
          <w:rPr>
            <w:rStyle w:val="Hyperlink"/>
          </w:rPr>
          <w:t>1983</w:t>
        </w:r>
      </w:hyperlink>
      <w:r>
        <w:t xml:space="preserve">). </w:t>
      </w:r>
      <w:proofErr w:type="spellStart"/>
      <w:r>
        <w:t>Sexuals</w:t>
      </w:r>
      <w:proofErr w:type="spellEnd"/>
      <w:r>
        <w:t xml:space="preserve"> and </w:t>
      </w:r>
      <w:proofErr w:type="spellStart"/>
      <w:r>
        <w:t>asexuals</w:t>
      </w:r>
      <w:proofErr w:type="spellEnd"/>
      <w:r>
        <w:t xml:space="preserve"> coexisted where parasite virulence and transmission were both high, but not at maximum values (</w:t>
      </w:r>
      <w:hyperlink w:anchor="fig-6-4">
        <w:r>
          <w:rPr>
            <w:rStyle w:val="Hyperlink"/>
          </w:rPr>
          <w:t>Figure 6.4</w:t>
        </w:r>
      </w:hyperlink>
      <w:r>
        <w:t>). Finally, asexual reproduction replaced sexual reproduction when parasites had low levels of virulence and/or transmission.</w:t>
      </w:r>
    </w:p>
    <w:tbl>
      <w:tblPr>
        <w:tblStyle w:val="Table"/>
        <w:tblW w:w="5000" w:type="pct"/>
        <w:tblLayout w:type="fixed"/>
        <w:tblLook w:val="0000" w:firstRow="0" w:lastRow="0" w:firstColumn="0" w:lastColumn="0" w:noHBand="0" w:noVBand="0"/>
      </w:tblPr>
      <w:tblGrid>
        <w:gridCol w:w="9360"/>
      </w:tblGrid>
      <w:tr w:rsidR="00FD0189" w14:paraId="6AC37C46" w14:textId="77777777">
        <w:tc>
          <w:tcPr>
            <w:tcW w:w="7920" w:type="dxa"/>
          </w:tcPr>
          <w:p w14:paraId="3B8A0135" w14:textId="77777777" w:rsidR="00FD0189" w:rsidRDefault="00000000">
            <w:pPr>
              <w:pStyle w:val="Compact"/>
              <w:jc w:val="center"/>
            </w:pPr>
            <w:bookmarkStart w:id="108" w:name="fig-6-4"/>
            <w:r>
              <w:rPr>
                <w:noProof/>
              </w:rPr>
              <w:lastRenderedPageBreak/>
              <w:drawing>
                <wp:inline distT="0" distB="0" distL="0" distR="0" wp14:anchorId="56A1F4F7" wp14:editId="51472820">
                  <wp:extent cx="3566160" cy="3456672"/>
                  <wp:effectExtent l="0" t="0" r="0" b="0"/>
                  <wp:docPr id="256" name="Picture" descr="A plot showing the probability of parasite transmission against parasite virulence when there is no mutation. Sexual reproduction only wins in competition with both transmission and virulence is very high."/>
                  <wp:cNvGraphicFramePr/>
                  <a:graphic xmlns:a="http://schemas.openxmlformats.org/drawingml/2006/main">
                    <a:graphicData uri="http://schemas.openxmlformats.org/drawingml/2006/picture">
                      <pic:pic xmlns:pic="http://schemas.openxmlformats.org/drawingml/2006/picture">
                        <pic:nvPicPr>
                          <pic:cNvPr id="256" name="Picture" descr="A plot showing the probability of parasite transmission against parasite virulence when there is no mutation. Sexual reproduction only wins in competition with both transmission and virulence is very high."/>
                          <pic:cNvPicPr>
                            <a:picLocks noChangeAspect="1" noChangeArrowheads="1"/>
                          </pic:cNvPicPr>
                        </pic:nvPicPr>
                        <pic:blipFill>
                          <a:blip r:embed="rId66"/>
                          <a:stretch>
                            <a:fillRect/>
                          </a:stretch>
                        </pic:blipFill>
                        <pic:spPr bwMode="auto">
                          <a:xfrm>
                            <a:off x="0" y="0"/>
                            <a:ext cx="3566160" cy="3456672"/>
                          </a:xfrm>
                          <a:prstGeom prst="rect">
                            <a:avLst/>
                          </a:prstGeom>
                          <a:noFill/>
                          <a:ln w="9525">
                            <a:noFill/>
                            <a:headEnd/>
                            <a:tailEnd/>
                          </a:ln>
                        </pic:spPr>
                      </pic:pic>
                    </a:graphicData>
                  </a:graphic>
                </wp:inline>
              </w:drawing>
            </w:r>
          </w:p>
          <w:p w14:paraId="385D34E8" w14:textId="77777777" w:rsidR="00FD0189" w:rsidRDefault="00000000">
            <w:pPr>
              <w:pStyle w:val="ImageCaption"/>
              <w:spacing w:before="200"/>
            </w:pPr>
            <w:r>
              <w:t xml:space="preserve">Figure 6.4: Parameter space showing regions where sexual reproduction persists in the face of competition with a single clone in the absence of mutation. Note that sexual reproduction only wins outright when virulence is at or near its maximum value of one and transmission is also very high. Asexual females replace </w:t>
            </w:r>
            <w:proofErr w:type="spellStart"/>
            <w:r>
              <w:t>sexuals</w:t>
            </w:r>
            <w:proofErr w:type="spellEnd"/>
            <w:r>
              <w:t xml:space="preserve"> at low levels of transmission and virulence. Finally, there is an intermediate zone on the virulence-transmission axis where sexual and asexual females coexist. Redrawn from Howard and Lively (</w:t>
            </w:r>
            <w:hyperlink w:anchor="ref-howard1994b">
              <w:r>
                <w:rPr>
                  <w:rStyle w:val="Hyperlink"/>
                </w:rPr>
                <w:t>1994a</w:t>
              </w:r>
            </w:hyperlink>
            <w:r>
              <w:t>).</w:t>
            </w:r>
          </w:p>
        </w:tc>
        <w:bookmarkEnd w:id="108"/>
      </w:tr>
    </w:tbl>
    <w:p w14:paraId="68837B05" w14:textId="77777777" w:rsidR="00FD0189" w:rsidRDefault="00000000">
      <w:pPr>
        <w:pStyle w:val="BodyText"/>
      </w:pPr>
      <w:r>
        <w:t xml:space="preserve">Now, what if we add in mutation? Steve’s results suggested that for genome-wide mutation rates of </w:t>
      </w:r>
      <m:oMath>
        <m:r>
          <w:rPr>
            <w:rFonts w:ascii="Latin Modern Math" w:hAnsi="Latin Modern Math"/>
          </w:rPr>
          <m:t>U</m:t>
        </m:r>
        <m:r>
          <m:rPr>
            <m:sty m:val="p"/>
          </m:rPr>
          <w:rPr>
            <w:rFonts w:ascii="Latin Modern Math" w:hAnsi="Latin Modern Math"/>
          </w:rPr>
          <m:t>=</m:t>
        </m:r>
        <m:r>
          <w:rPr>
            <w:rFonts w:ascii="Latin Modern Math" w:hAnsi="Latin Modern Math"/>
          </w:rPr>
          <m:t>0.5</m:t>
        </m:r>
      </m:oMath>
      <w:r>
        <w:t xml:space="preserve"> to </w:t>
      </w:r>
      <m:oMath>
        <m:r>
          <w:rPr>
            <w:rFonts w:ascii="Latin Modern Math" w:hAnsi="Latin Modern Math"/>
          </w:rPr>
          <m:t>1.0</m:t>
        </m:r>
      </m:oMath>
      <w:r>
        <w:t xml:space="preserve">, sexual reproduction was stable to replacement by asexual reproduction, even when parasites </w:t>
      </w:r>
      <w:r>
        <w:rPr>
          <w:b/>
          <w:bCs/>
        </w:rPr>
        <w:t>were only moderately virulent</w:t>
      </w:r>
      <w:r>
        <w:t>.</w:t>
      </w:r>
      <w:r>
        <w:rPr>
          <w:rStyle w:val="FootnoteReference"/>
        </w:rPr>
        <w:footnoteReference w:id="53"/>
      </w:r>
      <w:r>
        <w:t xml:space="preserve"> This surprised us! One of the major difficulties for the Red Queen had been that May and Anderson’s (</w:t>
      </w:r>
      <w:hyperlink w:anchor="ref-may1983a">
        <w:r>
          <w:rPr>
            <w:rStyle w:val="Hyperlink"/>
          </w:rPr>
          <w:t>1983</w:t>
        </w:r>
      </w:hyperlink>
      <w:r>
        <w:t>) results suggest that parasites had to kill or sterilize infected hosts to provide sufficiently strong selection for cross-fertilization. Steve’s new results suggested that, in combination with the ratchet, parasites did not have to generate such strong selection against infected individuals (</w:t>
      </w:r>
      <w:hyperlink w:anchor="fig-6-5">
        <w:r>
          <w:rPr>
            <w:rStyle w:val="Hyperlink"/>
          </w:rPr>
          <w:t>Figure 6.5</w:t>
        </w:r>
      </w:hyperlink>
      <w:r>
        <w:t>). When we started out, we had not imagined that the synergism between the ratchet and the Red Queen could be so powerful.</w:t>
      </w:r>
      <w:r>
        <w:rPr>
          <w:rStyle w:val="FootnoteReference"/>
        </w:rPr>
        <w:footnoteReference w:id="54"/>
      </w:r>
    </w:p>
    <w:tbl>
      <w:tblPr>
        <w:tblStyle w:val="Table"/>
        <w:tblW w:w="5000" w:type="pct"/>
        <w:tblLayout w:type="fixed"/>
        <w:tblLook w:val="0000" w:firstRow="0" w:lastRow="0" w:firstColumn="0" w:lastColumn="0" w:noHBand="0" w:noVBand="0"/>
      </w:tblPr>
      <w:tblGrid>
        <w:gridCol w:w="9360"/>
      </w:tblGrid>
      <w:tr w:rsidR="00FD0189" w14:paraId="29AA643A" w14:textId="77777777">
        <w:tc>
          <w:tcPr>
            <w:tcW w:w="7920" w:type="dxa"/>
          </w:tcPr>
          <w:p w14:paraId="171356BF" w14:textId="77777777" w:rsidR="00FD0189" w:rsidRDefault="00000000">
            <w:pPr>
              <w:pStyle w:val="Compact"/>
              <w:jc w:val="center"/>
            </w:pPr>
            <w:bookmarkStart w:id="109" w:name="fig-6-5"/>
            <w:r>
              <w:rPr>
                <w:noProof/>
              </w:rPr>
              <w:lastRenderedPageBreak/>
              <w:drawing>
                <wp:inline distT="0" distB="0" distL="0" distR="0" wp14:anchorId="07DB92E0" wp14:editId="4320C0BC">
                  <wp:extent cx="4160520" cy="4091397"/>
                  <wp:effectExtent l="0" t="0" r="0" b="0"/>
                  <wp:docPr id="262" name="Picture" descr="Four plots like the one in Fig. 6.4, except that mutations are allowed to accumulate. The general result is that sexual reproduction wins for lower levels of virulence and transmission than the case without mutation."/>
                  <wp:cNvGraphicFramePr/>
                  <a:graphic xmlns:a="http://schemas.openxmlformats.org/drawingml/2006/main">
                    <a:graphicData uri="http://schemas.openxmlformats.org/drawingml/2006/picture">
                      <pic:pic xmlns:pic="http://schemas.openxmlformats.org/drawingml/2006/picture">
                        <pic:nvPicPr>
                          <pic:cNvPr id="262" name="Picture" descr="Four plots like the one in Fig. 6.4, except that mutations are allowed to accumulate. The general result is that sexual reproduction wins for lower levels of virulence and transmission than the case without mutation."/>
                          <pic:cNvPicPr>
                            <a:picLocks noChangeAspect="1" noChangeArrowheads="1"/>
                          </pic:cNvPicPr>
                        </pic:nvPicPr>
                        <pic:blipFill>
                          <a:blip r:embed="rId67"/>
                          <a:stretch>
                            <a:fillRect/>
                          </a:stretch>
                        </pic:blipFill>
                        <pic:spPr bwMode="auto">
                          <a:xfrm>
                            <a:off x="0" y="0"/>
                            <a:ext cx="4160520" cy="4091397"/>
                          </a:xfrm>
                          <a:prstGeom prst="rect">
                            <a:avLst/>
                          </a:prstGeom>
                          <a:noFill/>
                          <a:ln w="9525">
                            <a:noFill/>
                            <a:headEnd/>
                            <a:tailEnd/>
                          </a:ln>
                        </pic:spPr>
                      </pic:pic>
                    </a:graphicData>
                  </a:graphic>
                </wp:inline>
              </w:drawing>
            </w:r>
          </w:p>
          <w:p w14:paraId="5BF38E63" w14:textId="77777777" w:rsidR="00FD0189" w:rsidRDefault="00000000">
            <w:pPr>
              <w:pStyle w:val="ImageCaption"/>
              <w:spacing w:before="200"/>
            </w:pPr>
            <w:r>
              <w:t>Figure 6.5: Parameter space showing regions where sexual reproduction persists in the face of competition with a single clone in the presence of mutation. In comparison to the case without mutation (</w:t>
            </w:r>
            <w:hyperlink w:anchor="fig-6-4">
              <w:r>
                <w:rPr>
                  <w:rStyle w:val="Hyperlink"/>
                </w:rPr>
                <w:t>Figure 6.4</w:t>
              </w:r>
            </w:hyperlink>
            <w:r>
              <w:t>), sexual reproduction is stable over a much wider range of values for transmission and virulence. The zone of coexistence is also greatly reduced (purple squares). Redrawn from Howard and Lively (</w:t>
            </w:r>
            <w:hyperlink w:anchor="ref-howard1994b">
              <w:r>
                <w:rPr>
                  <w:rStyle w:val="Hyperlink"/>
                </w:rPr>
                <w:t>1994a</w:t>
              </w:r>
            </w:hyperlink>
            <w:r>
              <w:t>).</w:t>
            </w:r>
          </w:p>
        </w:tc>
        <w:bookmarkEnd w:id="109"/>
      </w:tr>
    </w:tbl>
    <w:p w14:paraId="08D3CD01" w14:textId="77777777" w:rsidR="00FD0189" w:rsidRDefault="00000000">
      <w:pPr>
        <w:pStyle w:val="BodyText"/>
      </w:pPr>
      <w:r>
        <w:t>The potential for synergism between antagonistic coevolution and mutation accumulation later became the subject of a target review in 1999, headed up by Stuart West (</w:t>
      </w:r>
      <w:hyperlink w:anchor="ref-west1999a">
        <w:r>
          <w:rPr>
            <w:rStyle w:val="Hyperlink"/>
          </w:rPr>
          <w:t>1999</w:t>
        </w:r>
      </w:hyperlink>
      <w:r>
        <w:t>). Stu was a post-doc in Andrew Read’s lab in Edinburgh while I was there as a sabbatical visitor in the lab. But the whole thing originally started at a meeting we all attended at the Max Planck Institute in Seewiesen, Germany. It was an amazing gathering on the evolution of sex, organized by Nico Michiels, with an incredible mix of faculty, post-docs, and students. I presented some of the snail data along with the results of Howard and Lively (</w:t>
      </w:r>
      <w:hyperlink w:anchor="ref-howard1994a">
        <w:r>
          <w:rPr>
            <w:rStyle w:val="Hyperlink"/>
          </w:rPr>
          <w:t>1994b</w:t>
        </w:r>
      </w:hyperlink>
      <w:r>
        <w:t xml:space="preserve">) to a rather mixed reaction. To my mind, it seemed that the students and post-docs (including Stu) liked the idea of combining hypotheses, but at least one of the more established members in the field saw it as an attempt by </w:t>
      </w:r>
      <w:r>
        <w:lastRenderedPageBreak/>
        <w:t>hippies to make everyone happy.</w:t>
      </w:r>
      <w:r>
        <w:rPr>
          <w:rStyle w:val="FootnoteReference"/>
        </w:rPr>
        <w:footnoteReference w:id="55"/>
      </w:r>
      <w:r>
        <w:t xml:space="preserve"> In any case, Stu expanded on the basic idea back in Edinburgh, and he convinced Andrew and me to help him craft it as a target review for the </w:t>
      </w:r>
      <w:r>
        <w:rPr>
          <w:i/>
          <w:iCs/>
        </w:rPr>
        <w:t>Journal of Evolutionary Biology</w:t>
      </w:r>
      <w:r>
        <w:t xml:space="preserve">. I was very reluctant, as several key researchers in the field would be asked to publish their thoughts on the matter, which I knew were unlikely to be uniformly positive. In the end, our paper was </w:t>
      </w:r>
      <w:proofErr w:type="gramStart"/>
      <w:r>
        <w:t>published—along</w:t>
      </w:r>
      <w:proofErr w:type="gramEnd"/>
      <w:r>
        <w:t xml:space="preserve"> with over a dozen commentaries (see </w:t>
      </w:r>
      <w:hyperlink r:id="rId68">
        <w:r>
          <w:rPr>
            <w:rStyle w:val="Hyperlink"/>
          </w:rPr>
          <w:t>vol. 12, issue 6</w:t>
        </w:r>
      </w:hyperlink>
      <w:r>
        <w:t>). The commentaries were more positive on average than I expected, but mainly it was interesting to see the diversity of thought by some of the top biologists studying sex and recombination at the time.</w:t>
      </w:r>
    </w:p>
    <w:p w14:paraId="406C613A" w14:textId="77777777" w:rsidR="00FD0189" w:rsidRDefault="00000000">
      <w:pPr>
        <w:pStyle w:val="BodyText"/>
      </w:pPr>
      <w:r>
        <w:t xml:space="preserve">My work with Steve Howard on synergism between the ratchet and the Red Queen led me to rethink my views on Strong Inference, as discussed in </w:t>
      </w:r>
      <w:hyperlink w:anchor="sec-eco-hyp-cont">
        <w:r>
          <w:rPr>
            <w:rStyle w:val="Hyperlink"/>
          </w:rPr>
          <w:t>Chapter 3</w:t>
        </w:r>
      </w:hyperlink>
      <w:r>
        <w:t>, where the goal is to force competing hypotheses to make different predictions before getting the data. What if the answer is some combination or even synergism between hypotheses? It could be that forcing predictions could result in the rejection of all alternatives, when in fact two or more hypotheses were partially true. And if two hypotheses are strongly synergistic, would it be appropriate to claim that one was more important? In studying this problem, I found an excellent article contrasting Platt’s strong inference with Chamberlin’s method of multiple working hypotheses (</w:t>
      </w:r>
      <w:hyperlink w:anchor="ref-elliott2007a">
        <w:r>
          <w:rPr>
            <w:rStyle w:val="Hyperlink"/>
          </w:rPr>
          <w:t>Elliott &amp; Brook 2007</w:t>
        </w:r>
      </w:hyperlink>
      <w:r>
        <w:t xml:space="preserve">). Elliott and Brook state that the two methods are often treated as the same idea (of which I was guilty in </w:t>
      </w:r>
      <w:hyperlink w:anchor="sec-eco-hyp-cont">
        <w:r>
          <w:rPr>
            <w:rStyle w:val="Hyperlink"/>
          </w:rPr>
          <w:t>Chapter 3</w:t>
        </w:r>
      </w:hyperlink>
      <w:r>
        <w:t>). But they are not the same. Platt’s paper (which drew heavily from Chamberlin) focused on designing programs that would falsify all but one of the alternatives, whereas Chamberlin allowed for combinations, and even synergism, between competing hypotheses. It now seems to me that Chamberlin’s (</w:t>
      </w:r>
      <w:hyperlink w:anchor="ref-chamberlin1890a">
        <w:r>
          <w:rPr>
            <w:rStyle w:val="Hyperlink"/>
          </w:rPr>
          <w:t>1890</w:t>
        </w:r>
      </w:hyperlink>
      <w:r>
        <w:t>) paper better describes the best way forward with respect to the problem of sex.</w:t>
      </w:r>
    </w:p>
    <w:p w14:paraId="18DABAF3" w14:textId="77777777" w:rsidR="00FD0189" w:rsidRDefault="00000000">
      <w:pPr>
        <w:pStyle w:val="Heading3"/>
      </w:pPr>
      <w:bookmarkStart w:id="110" w:name="what-about-parasites"/>
      <w:bookmarkStart w:id="111" w:name="_Toc159248515"/>
      <w:r>
        <w:t>6.3.1 What about parasites?</w:t>
      </w:r>
      <w:bookmarkEnd w:id="111"/>
    </w:p>
    <w:p w14:paraId="1A42BDB1" w14:textId="77777777" w:rsidR="00FD0189" w:rsidRDefault="00000000">
      <w:pPr>
        <w:pStyle w:val="FirstParagraph"/>
      </w:pPr>
      <w:r>
        <w:t>One of the major patterns of sex/asex was pointed out by Graham Bell. He found that parasitic species were much more likely to be outcrossing than their free-living relatives (</w:t>
      </w:r>
      <w:hyperlink w:anchor="ref-bell1982a">
        <w:r>
          <w:rPr>
            <w:rStyle w:val="Hyperlink"/>
          </w:rPr>
          <w:t>Bell 1982</w:t>
        </w:r>
      </w:hyperlink>
      <w:r>
        <w:t>). This finding was emphatically supported by a formal phylogenetic study of free-living versus parasitic nematodes (</w:t>
      </w:r>
      <w:hyperlink w:anchor="ref-gibson2015a">
        <w:r>
          <w:rPr>
            <w:rStyle w:val="Hyperlink"/>
          </w:rPr>
          <w:t>Gibson &amp; Fuentes 2015</w:t>
        </w:r>
      </w:hyperlink>
      <w:r>
        <w:t>). However, much of the theoretical focus for sex/asex has focused on hosts. What about parasites? If host-parasite coevolution can contribute to selection for sexual reproduction in hosts, does it also feedback to select for sex in parasites? If so, is it sufficient? Steve Howard was one of the first theoreticians to address these questions along with Alison Galvani and Katrina Lythgoe (</w:t>
      </w:r>
      <w:hyperlink w:anchor="ref-galvani2003a">
        <w:r>
          <w:rPr>
            <w:rStyle w:val="Hyperlink"/>
          </w:rPr>
          <w:t xml:space="preserve">Galvani </w:t>
        </w:r>
        <w:r>
          <w:rPr>
            <w:rStyle w:val="Hyperlink"/>
            <w:i/>
            <w:iCs/>
          </w:rPr>
          <w:t>et al.</w:t>
        </w:r>
        <w:r>
          <w:rPr>
            <w:rStyle w:val="Hyperlink"/>
          </w:rPr>
          <w:t xml:space="preserve"> 2003</w:t>
        </w:r>
      </w:hyperlink>
      <w:r>
        <w:t xml:space="preserve">; </w:t>
      </w:r>
      <w:hyperlink w:anchor="ref-lythgoe2000a">
        <w:r>
          <w:rPr>
            <w:rStyle w:val="Hyperlink"/>
          </w:rPr>
          <w:t>Lythgoe 2000</w:t>
        </w:r>
      </w:hyperlink>
      <w:r>
        <w:t>). Steve’s results showed that sexual populations of obligate parasites could be invaded and replaced by a diverse population of clonal parasite genotypes. More specifically, repeated mutation to asexual reproduction in the parasite population led to a diverse clonal population, which eventually replaced the ancestral sexual population. However, the ratchet, in combination with Red Queen dynamics, could lead to the elimination of clones and the long-term maintenance of sexual parasite populations (</w:t>
      </w:r>
      <w:hyperlink w:anchor="ref-howard2002a">
        <w:r>
          <w:rPr>
            <w:rStyle w:val="Hyperlink"/>
          </w:rPr>
          <w:t>Howard &amp; Lively 2002</w:t>
        </w:r>
      </w:hyperlink>
      <w:r>
        <w:t xml:space="preserve">). Hence, the results for parasites mirror those found for hosts, except that the ratchet worked more rapidly in obligate parasites, as selection is stronger, giving rise to more extreme oscillations during Red Queen dynamics. It is still unknown whether the ratchet and the </w:t>
      </w:r>
      <w:r>
        <w:lastRenderedPageBreak/>
        <w:t>Red Queen work synergistically to select for sex in either parasites or hosts in the wild.</w:t>
      </w:r>
      <w:r>
        <w:rPr>
          <w:rStyle w:val="FootnoteReference"/>
        </w:rPr>
        <w:footnoteReference w:id="56"/>
      </w:r>
      <w:r>
        <w:t xml:space="preserve"> But it seems like a sensible possibility.</w:t>
      </w:r>
    </w:p>
    <w:p w14:paraId="0D73F8BC" w14:textId="77777777" w:rsidR="00FD0189" w:rsidRDefault="00000000">
      <w:pPr>
        <w:pStyle w:val="Heading2"/>
      </w:pPr>
      <w:bookmarkStart w:id="112" w:name="summary-4"/>
      <w:bookmarkStart w:id="113" w:name="_Toc159248516"/>
      <w:bookmarkEnd w:id="103"/>
      <w:bookmarkEnd w:id="110"/>
      <w:r>
        <w:t>6.4 Summary</w:t>
      </w:r>
      <w:bookmarkEnd w:id="113"/>
    </w:p>
    <w:p w14:paraId="3519F813" w14:textId="77777777" w:rsidR="00FD0189" w:rsidRDefault="00000000">
      <w:pPr>
        <w:pStyle w:val="Compact"/>
        <w:numPr>
          <w:ilvl w:val="0"/>
          <w:numId w:val="34"/>
        </w:numPr>
      </w:pPr>
      <w:r>
        <w:t>The Red Queen Hypothesis is a potentially general way of explaining why clonal lineages don’t rapidly replace sexual competitors in the short term.</w:t>
      </w:r>
    </w:p>
    <w:p w14:paraId="404EB816" w14:textId="77777777" w:rsidR="00FD0189" w:rsidRDefault="00000000">
      <w:pPr>
        <w:pStyle w:val="Compact"/>
        <w:numPr>
          <w:ilvl w:val="0"/>
          <w:numId w:val="34"/>
        </w:numPr>
      </w:pPr>
      <w:r>
        <w:t>But any source of frequency-dependent selection (such as parasites or niche competition) would seem insufficient by itself to eliminate clones when rare. However, the elimination of rare clones could be aided by either demographic stochasticity in finite populations and/or by Muller’s ratchet.</w:t>
      </w:r>
    </w:p>
    <w:p w14:paraId="26F8ECE6" w14:textId="77777777" w:rsidR="00FD0189" w:rsidRDefault="00000000">
      <w:pPr>
        <w:pStyle w:val="Compact"/>
        <w:numPr>
          <w:ilvl w:val="0"/>
          <w:numId w:val="34"/>
        </w:numPr>
      </w:pPr>
      <w:r>
        <w:t>In the case of Muller’s ratchet, parasite-mediated frequency-dependent selection could facilitate the ratchet-like mechanism by periodically reducing the size of the clonal population, thereby increasing the rate of mutation accumulation.</w:t>
      </w:r>
    </w:p>
    <w:p w14:paraId="36A50347" w14:textId="77777777" w:rsidR="00FD0189" w:rsidRDefault="00000000">
      <w:pPr>
        <w:pStyle w:val="Compact"/>
        <w:numPr>
          <w:ilvl w:val="0"/>
          <w:numId w:val="34"/>
        </w:numPr>
      </w:pPr>
      <w:r>
        <w:t xml:space="preserve">The ratchet/Red Queen idea is very difficult to test, but data for </w:t>
      </w:r>
      <w:r>
        <w:rPr>
          <w:i/>
          <w:iCs/>
        </w:rPr>
        <w:t>P. antipodarum</w:t>
      </w:r>
      <w:r>
        <w:t xml:space="preserve"> suggest that long-lived clonal lineages are most likely in populations that are relatively parasite free (</w:t>
      </w:r>
      <w:hyperlink w:anchor="ref-neiman2005a">
        <w:r>
          <w:rPr>
            <w:rStyle w:val="Hyperlink"/>
          </w:rPr>
          <w:t xml:space="preserve">Neiman </w:t>
        </w:r>
        <w:r>
          <w:rPr>
            <w:rStyle w:val="Hyperlink"/>
            <w:i/>
            <w:iCs/>
          </w:rPr>
          <w:t>et al.</w:t>
        </w:r>
        <w:r>
          <w:rPr>
            <w:rStyle w:val="Hyperlink"/>
          </w:rPr>
          <w:t xml:space="preserve"> 2005</w:t>
        </w:r>
      </w:hyperlink>
      <w:r>
        <w:t>).</w:t>
      </w:r>
    </w:p>
    <w:p w14:paraId="737B9ED2" w14:textId="77777777" w:rsidR="00FD0189" w:rsidRDefault="00000000">
      <w:pPr>
        <w:pStyle w:val="Heading2"/>
      </w:pPr>
      <w:bookmarkStart w:id="114" w:name="sec-app-6"/>
      <w:bookmarkStart w:id="115" w:name="_Toc159248517"/>
      <w:bookmarkEnd w:id="112"/>
      <w:r>
        <w:t>6.5 Appendix: Down the Ratchet Hole</w:t>
      </w:r>
      <w:bookmarkEnd w:id="115"/>
    </w:p>
    <w:p w14:paraId="6888CAEF" w14:textId="77777777" w:rsidR="00FD0189" w:rsidRDefault="00000000">
      <w:pPr>
        <w:pStyle w:val="FirstParagraph"/>
      </w:pPr>
      <w:r>
        <w:t xml:space="preserve">Suppose the probability of a new mutation in offspring is </w:t>
      </w:r>
      <m:oMath>
        <m:r>
          <w:rPr>
            <w:rFonts w:ascii="Latin Modern Math" w:hAnsi="Latin Modern Math"/>
          </w:rPr>
          <m:t>0.5</m:t>
        </m:r>
      </m:oMath>
      <w:r>
        <w:t xml:space="preserve">. Clearly, it would not make sense to say that every offspring acquires one half of one mutation. But it would make sense to say that offspring have a Poisson distribution of new mutations. Under a Poisson distribution, the frequency of individuals with </w:t>
      </w:r>
      <m:oMath>
        <m:r>
          <w:rPr>
            <w:rFonts w:ascii="Latin Modern Math" w:hAnsi="Latin Modern Math"/>
          </w:rPr>
          <m:t>k</m:t>
        </m:r>
      </m:oMath>
      <w:r>
        <w:t xml:space="preserve"> new mutations is given by</w:t>
      </w:r>
    </w:p>
    <w:p w14:paraId="62DE1B59" w14:textId="77777777" w:rsidR="00FD0189" w:rsidRDefault="00000000">
      <w:pPr>
        <w:pStyle w:val="BodyText"/>
      </w:pPr>
      <m:oMathPara>
        <m:oMathParaPr>
          <m:jc m:val="center"/>
        </m:oMathParaPr>
        <m:oMath>
          <m:sSub>
            <m:sSubPr>
              <m:ctrlPr>
                <w:rPr>
                  <w:rFonts w:ascii="Latin Modern Math" w:hAnsi="Latin Modern Math"/>
                </w:rPr>
              </m:ctrlPr>
            </m:sSubPr>
            <m:e>
              <m:r>
                <w:rPr>
                  <w:rFonts w:ascii="Latin Modern Math" w:hAnsi="Latin Modern Math"/>
                </w:rPr>
                <m:t>f</m:t>
              </m:r>
            </m:e>
            <m:sub>
              <m:r>
                <w:rPr>
                  <w:rFonts w:ascii="Latin Modern Math" w:hAnsi="Latin Modern Math"/>
                </w:rPr>
                <m:t>k</m:t>
              </m:r>
            </m:sub>
          </m:sSub>
          <m:r>
            <m:rPr>
              <m:sty m:val="p"/>
            </m:rPr>
            <w:rPr>
              <w:rFonts w:ascii="Latin Modern Math" w:hAnsi="Latin Modern Math"/>
            </w:rPr>
            <m:t>=</m:t>
          </m:r>
          <m:f>
            <m:fPr>
              <m:ctrlPr>
                <w:rPr>
                  <w:rFonts w:ascii="Latin Modern Math" w:hAnsi="Latin Modern Math"/>
                </w:rPr>
              </m:ctrlPr>
            </m:fPr>
            <m:num>
              <m:sSup>
                <m:sSupPr>
                  <m:ctrlPr>
                    <w:rPr>
                      <w:rFonts w:ascii="Latin Modern Math" w:hAnsi="Latin Modern Math"/>
                    </w:rPr>
                  </m:ctrlPr>
                </m:sSupPr>
                <m:e>
                  <m:r>
                    <w:rPr>
                      <w:rFonts w:ascii="Latin Modern Math" w:hAnsi="Latin Modern Math"/>
                    </w:rPr>
                    <m:t>e</m:t>
                  </m:r>
                </m:e>
                <m:sup>
                  <m:r>
                    <m:rPr>
                      <m:sty m:val="p"/>
                    </m:rPr>
                    <w:rPr>
                      <w:rFonts w:ascii="Latin Modern Math" w:hAnsi="Latin Modern Math"/>
                    </w:rPr>
                    <m:t>-</m:t>
                  </m:r>
                  <m:r>
                    <w:rPr>
                      <w:rFonts w:ascii="Latin Modern Math" w:hAnsi="Latin Modern Math"/>
                    </w:rPr>
                    <m:t>U</m:t>
                  </m:r>
                </m:sup>
              </m:sSup>
              <m:sSup>
                <m:sSupPr>
                  <m:ctrlPr>
                    <w:rPr>
                      <w:rFonts w:ascii="Latin Modern Math" w:hAnsi="Latin Modern Math"/>
                    </w:rPr>
                  </m:ctrlPr>
                </m:sSupPr>
                <m:e>
                  <m:r>
                    <w:rPr>
                      <w:rFonts w:ascii="Latin Modern Math" w:hAnsi="Latin Modern Math"/>
                    </w:rPr>
                    <m:t>U</m:t>
                  </m:r>
                </m:e>
                <m:sup>
                  <m:r>
                    <w:rPr>
                      <w:rFonts w:ascii="Latin Modern Math" w:hAnsi="Latin Modern Math"/>
                    </w:rPr>
                    <m:t>k</m:t>
                  </m:r>
                </m:sup>
              </m:sSup>
            </m:num>
            <m:den>
              <m:r>
                <w:rPr>
                  <w:rFonts w:ascii="Latin Modern Math" w:hAnsi="Latin Modern Math"/>
                </w:rPr>
                <m:t>k</m:t>
              </m:r>
              <m:r>
                <m:rPr>
                  <m:sty m:val="p"/>
                </m:rPr>
                <w:rPr>
                  <w:rFonts w:ascii="Latin Modern Math" w:hAnsi="Latin Modern Math"/>
                </w:rPr>
                <m:t>!</m:t>
              </m:r>
            </m:den>
          </m:f>
        </m:oMath>
      </m:oMathPara>
    </w:p>
    <w:p w14:paraId="7DCC0E14" w14:textId="77777777" w:rsidR="00FD0189" w:rsidRDefault="00000000">
      <w:pPr>
        <w:pStyle w:val="FirstParagraph"/>
      </w:pPr>
      <w:r>
        <w:t xml:space="preserve">where </w:t>
      </w:r>
      <m:oMath>
        <m:r>
          <w:rPr>
            <w:rFonts w:ascii="Latin Modern Math" w:hAnsi="Latin Modern Math"/>
          </w:rPr>
          <m:t>U</m:t>
        </m:r>
      </m:oMath>
      <w:r>
        <w:t xml:space="preserve"> is the probability of a new mutation per generation. Under this formulation, the frequency of offspring that contain no new mutations is given by</w:t>
      </w:r>
    </w:p>
    <w:p w14:paraId="184512EC" w14:textId="77777777" w:rsidR="00FD0189" w:rsidRDefault="00000000">
      <w:pPr>
        <w:pStyle w:val="BodyText"/>
      </w:pPr>
      <m:oMathPara>
        <m:oMathParaPr>
          <m:jc m:val="center"/>
        </m:oMathParaPr>
        <m:oMath>
          <m:sSub>
            <m:sSubPr>
              <m:ctrlPr>
                <w:rPr>
                  <w:rFonts w:ascii="Latin Modern Math" w:hAnsi="Latin Modern Math"/>
                </w:rPr>
              </m:ctrlPr>
            </m:sSubPr>
            <m:e>
              <m:r>
                <w:rPr>
                  <w:rFonts w:ascii="Latin Modern Math" w:hAnsi="Latin Modern Math"/>
                </w:rPr>
                <m:t>f</m:t>
              </m:r>
            </m:e>
            <m:sub>
              <m:r>
                <w:rPr>
                  <w:rFonts w:ascii="Latin Modern Math" w:hAnsi="Latin Modern Math"/>
                </w:rPr>
                <m:t>0</m:t>
              </m:r>
            </m:sub>
          </m:sSub>
          <m:r>
            <m:rPr>
              <m:sty m:val="p"/>
            </m:rPr>
            <w:rPr>
              <w:rFonts w:ascii="Latin Modern Math" w:hAnsi="Latin Modern Math"/>
            </w:rPr>
            <m:t>=</m:t>
          </m:r>
          <m:sSup>
            <m:sSupPr>
              <m:ctrlPr>
                <w:rPr>
                  <w:rFonts w:ascii="Latin Modern Math" w:hAnsi="Latin Modern Math"/>
                </w:rPr>
              </m:ctrlPr>
            </m:sSupPr>
            <m:e>
              <m:r>
                <w:rPr>
                  <w:rFonts w:ascii="Latin Modern Math" w:hAnsi="Latin Modern Math"/>
                </w:rPr>
                <m:t>e</m:t>
              </m:r>
            </m:e>
            <m:sup>
              <m:r>
                <m:rPr>
                  <m:sty m:val="p"/>
                </m:rPr>
                <w:rPr>
                  <w:rFonts w:ascii="Latin Modern Math" w:hAnsi="Latin Modern Math"/>
                </w:rPr>
                <m:t>-</m:t>
              </m:r>
              <m:r>
                <w:rPr>
                  <w:rFonts w:ascii="Latin Modern Math" w:hAnsi="Latin Modern Math"/>
                </w:rPr>
                <m:t>U</m:t>
              </m:r>
            </m:sup>
          </m:sSup>
          <m:r>
            <m:rPr>
              <m:sty m:val="p"/>
            </m:rPr>
            <w:rPr>
              <w:rFonts w:ascii="Latin Modern Math" w:hAnsi="Latin Modern Math"/>
            </w:rPr>
            <m:t>.</m:t>
          </m:r>
        </m:oMath>
      </m:oMathPara>
    </w:p>
    <w:p w14:paraId="2CF3B2BD" w14:textId="77777777" w:rsidR="00FD0189" w:rsidRDefault="00000000">
      <w:pPr>
        <w:pStyle w:val="FirstParagraph"/>
      </w:pPr>
      <w:r>
        <w:t>Suppose a clonal population begins with a single individual with zero mutations (</w:t>
      </w:r>
      <m:oMath>
        <m:r>
          <w:rPr>
            <w:rFonts w:ascii="Latin Modern Math" w:hAnsi="Latin Modern Math"/>
          </w:rPr>
          <m:t>k</m:t>
        </m:r>
        <m:r>
          <m:rPr>
            <m:sty m:val="p"/>
          </m:rPr>
          <w:rPr>
            <w:rFonts w:ascii="Latin Modern Math" w:hAnsi="Latin Modern Math"/>
          </w:rPr>
          <m:t>=</m:t>
        </m:r>
        <m:r>
          <w:rPr>
            <w:rFonts w:ascii="Latin Modern Math" w:hAnsi="Latin Modern Math"/>
          </w:rPr>
          <m:t>0</m:t>
        </m:r>
      </m:oMath>
      <w:r>
        <w:t xml:space="preserve"> and </w:t>
      </w:r>
      <m:oMath>
        <m:sSub>
          <m:sSubPr>
            <m:ctrlPr>
              <w:rPr>
                <w:rFonts w:ascii="Latin Modern Math" w:hAnsi="Latin Modern Math"/>
              </w:rPr>
            </m:ctrlPr>
          </m:sSubPr>
          <m:e>
            <m:r>
              <w:rPr>
                <w:rFonts w:ascii="Latin Modern Math" w:hAnsi="Latin Modern Math"/>
              </w:rPr>
              <m:t>w</m:t>
            </m:r>
          </m:e>
          <m:sub>
            <m:r>
              <w:rPr>
                <w:rFonts w:ascii="Latin Modern Math" w:hAnsi="Latin Modern Math"/>
              </w:rPr>
              <m:t>0</m:t>
            </m:r>
          </m:sub>
        </m:sSub>
        <m:r>
          <m:rPr>
            <m:sty m:val="p"/>
          </m:rPr>
          <w:rPr>
            <w:rFonts w:ascii="Latin Modern Math" w:hAnsi="Latin Modern Math"/>
          </w:rPr>
          <m:t>=</m:t>
        </m:r>
        <m:r>
          <w:rPr>
            <w:rFonts w:ascii="Latin Modern Math" w:hAnsi="Latin Modern Math"/>
          </w:rPr>
          <m:t>1</m:t>
        </m:r>
      </m:oMath>
      <w:r>
        <w:t xml:space="preserve">). As above, let all future offspring acquire an average of </w:t>
      </w:r>
      <m:oMath>
        <m:r>
          <w:rPr>
            <w:rFonts w:ascii="Latin Modern Math" w:hAnsi="Latin Modern Math"/>
          </w:rPr>
          <m:t>U</m:t>
        </m:r>
      </m:oMath>
      <w:r>
        <w:t xml:space="preserve"> additional mutations per generation. The lineage would gain mutations over time, until the input of mutations is equal to the loss of mutations due to selection. At this point in time, the clonal population is at mutation-selection balance. Kimura and Maruyama (</w:t>
      </w:r>
      <w:hyperlink w:anchor="ref-kimura1966a">
        <w:r>
          <w:rPr>
            <w:rStyle w:val="Hyperlink"/>
          </w:rPr>
          <w:t>1966</w:t>
        </w:r>
      </w:hyperlink>
      <w:r>
        <w:t xml:space="preserve">) showed that the average number of mutations in a clonal </w:t>
      </w:r>
      <w:r>
        <w:lastRenderedPageBreak/>
        <w:t xml:space="preserve">lineage at mutation-selection balance is equal to </w:t>
      </w:r>
      <m:oMath>
        <m:r>
          <w:rPr>
            <w:rFonts w:ascii="Latin Modern Math" w:hAnsi="Latin Modern Math"/>
          </w:rPr>
          <m:t>U</m:t>
        </m:r>
        <m:r>
          <m:rPr>
            <m:sty m:val="p"/>
          </m:rPr>
          <w:rPr>
            <w:rFonts w:ascii="Latin Modern Math" w:hAnsi="Latin Modern Math"/>
          </w:rPr>
          <m:t>/</m:t>
        </m:r>
        <m:r>
          <w:rPr>
            <w:rFonts w:ascii="Latin Modern Math" w:hAnsi="Latin Modern Math"/>
          </w:rPr>
          <m:t>s</m:t>
        </m:r>
      </m:oMath>
      <w:r>
        <w:t xml:space="preserve">, where </w:t>
      </w:r>
      <m:oMath>
        <m:r>
          <w:rPr>
            <w:rFonts w:ascii="Latin Modern Math" w:hAnsi="Latin Modern Math"/>
          </w:rPr>
          <m:t>s</m:t>
        </m:r>
      </m:oMath>
      <w:r>
        <w:t xml:space="preserve"> is the selection coefficient against each mutation. They also showed that the mean fitness at this balance (assuming that </w:t>
      </w:r>
      <m:oMath>
        <m:r>
          <w:rPr>
            <w:rFonts w:ascii="Latin Modern Math" w:hAnsi="Latin Modern Math"/>
          </w:rPr>
          <m:t>s</m:t>
        </m:r>
      </m:oMath>
      <w:r>
        <w:t xml:space="preserve"> is small) is</w:t>
      </w:r>
    </w:p>
    <w:p w14:paraId="1C1CCFAF" w14:textId="77777777" w:rsidR="00FD0189" w:rsidRDefault="00000000">
      <w:pPr>
        <w:pStyle w:val="BodyText"/>
      </w:pPr>
      <m:oMathPara>
        <m:oMathParaPr>
          <m:jc m:val="center"/>
        </m:oMathParaPr>
        <m:oMath>
          <m:acc>
            <m:accPr>
              <m:ctrlPr>
                <w:rPr>
                  <w:rFonts w:ascii="Latin Modern Math" w:hAnsi="Latin Modern Math"/>
                </w:rPr>
              </m:ctrlPr>
            </m:accPr>
            <m:e>
              <m:r>
                <w:rPr>
                  <w:rFonts w:ascii="Latin Modern Math" w:hAnsi="Latin Modern Math"/>
                </w:rPr>
                <m:t>w</m:t>
              </m:r>
            </m:e>
          </m:acc>
          <m:r>
            <m:rPr>
              <m:sty m:val="p"/>
            </m:rPr>
            <w:rPr>
              <w:rFonts w:ascii="Latin Modern Math" w:hAnsi="Latin Modern Math"/>
            </w:rPr>
            <m:t>=</m:t>
          </m:r>
          <m:sSup>
            <m:sSupPr>
              <m:ctrlPr>
                <w:rPr>
                  <w:rFonts w:ascii="Latin Modern Math" w:hAnsi="Latin Modern Math"/>
                </w:rPr>
              </m:ctrlPr>
            </m:sSupPr>
            <m:e>
              <m:r>
                <w:rPr>
                  <w:rFonts w:ascii="Latin Modern Math" w:hAnsi="Latin Modern Math"/>
                </w:rPr>
                <m:t>e</m:t>
              </m:r>
            </m:e>
            <m:sup>
              <m:r>
                <m:rPr>
                  <m:sty m:val="p"/>
                </m:rPr>
                <w:rPr>
                  <w:rFonts w:ascii="Latin Modern Math" w:hAnsi="Latin Modern Math"/>
                </w:rPr>
                <m:t>-</m:t>
              </m:r>
              <m:r>
                <w:rPr>
                  <w:rFonts w:ascii="Latin Modern Math" w:hAnsi="Latin Modern Math"/>
                </w:rPr>
                <m:t>U</m:t>
              </m:r>
            </m:sup>
          </m:sSup>
          <m:r>
            <m:rPr>
              <m:sty m:val="p"/>
            </m:rPr>
            <w:rPr>
              <w:rFonts w:ascii="Latin Modern Math" w:hAnsi="Latin Modern Math"/>
            </w:rPr>
            <m:t>.</m:t>
          </m:r>
        </m:oMath>
      </m:oMathPara>
    </w:p>
    <w:p w14:paraId="185829F1" w14:textId="77777777" w:rsidR="00FD0189" w:rsidRDefault="00000000">
      <w:pPr>
        <w:pStyle w:val="FirstParagraph"/>
      </w:pPr>
      <w:r>
        <w:t>Hence, population mean fitness at equilibrium is expected to be equal to the expected frequency of zero new mutations in offspring.</w:t>
      </w:r>
    </w:p>
    <w:p w14:paraId="094DD354" w14:textId="77777777" w:rsidR="00FD0189" w:rsidRDefault="00000000">
      <w:pPr>
        <w:pStyle w:val="BodyText"/>
      </w:pPr>
      <w:r>
        <w:t>In an infinite population, we would expect the mean fitness to remain at this equilibrium value. But populations are finite, which leads to Muller’s ratchet. John Haigh (</w:t>
      </w:r>
      <w:hyperlink w:anchor="ref-haigh1978a">
        <w:r>
          <w:rPr>
            <w:rStyle w:val="Hyperlink"/>
          </w:rPr>
          <w:t>1978</w:t>
        </w:r>
      </w:hyperlink>
      <w:r>
        <w:t xml:space="preserve">) constructed the first model to deeply explore the ratchet. He first assumed that each deleterious mutation results in the same proportional reduction in fitness as all previous mutations. Let </w:t>
      </w:r>
      <m:oMath>
        <m:r>
          <w:rPr>
            <w:rFonts w:ascii="Latin Modern Math" w:hAnsi="Latin Modern Math"/>
          </w:rPr>
          <m:t>s</m:t>
        </m:r>
      </m:oMath>
      <w:r>
        <w:t xml:space="preserve"> be the selection coefficient against each mutation. Under Haigh’s assumption, an individual with zero mutations would have a relative fitness of </w:t>
      </w:r>
      <m:oMath>
        <m:r>
          <w:rPr>
            <w:rFonts w:ascii="Latin Modern Math" w:hAnsi="Latin Modern Math"/>
          </w:rPr>
          <m:t>1</m:t>
        </m:r>
      </m:oMath>
      <w:r>
        <w:t xml:space="preserve">, while an individual with one mutation would have a relative fitness of </w:t>
      </w:r>
      <m:oMath>
        <m:d>
          <m:dPr>
            <m:ctrlPr>
              <w:rPr>
                <w:rFonts w:ascii="Latin Modern Math" w:hAnsi="Latin Modern Math"/>
              </w:rPr>
            </m:ctrlPr>
          </m:dPr>
          <m:e>
            <m:r>
              <w:rPr>
                <w:rFonts w:ascii="Latin Modern Math" w:hAnsi="Latin Modern Math"/>
              </w:rPr>
              <m:t>1</m:t>
            </m:r>
            <m:r>
              <m:rPr>
                <m:sty m:val="p"/>
              </m:rPr>
              <w:rPr>
                <w:rFonts w:ascii="Latin Modern Math" w:hAnsi="Latin Modern Math"/>
              </w:rPr>
              <m:t>-</m:t>
            </m:r>
            <m:r>
              <w:rPr>
                <w:rFonts w:ascii="Latin Modern Math" w:hAnsi="Latin Modern Math"/>
              </w:rPr>
              <m:t>s</m:t>
            </m:r>
          </m:e>
        </m:d>
      </m:oMath>
      <w:r>
        <w:t xml:space="preserve">, and an individual with two mutations would have a relative fitness of </w:t>
      </w:r>
      <m:oMath>
        <m:d>
          <m:dPr>
            <m:ctrlPr>
              <w:rPr>
                <w:rFonts w:ascii="Latin Modern Math" w:hAnsi="Latin Modern Math"/>
              </w:rPr>
            </m:ctrlPr>
          </m:dPr>
          <m:e>
            <m:r>
              <w:rPr>
                <w:rFonts w:ascii="Latin Modern Math" w:hAnsi="Latin Modern Math"/>
              </w:rPr>
              <m:t>1</m:t>
            </m:r>
            <m:r>
              <m:rPr>
                <m:sty m:val="p"/>
              </m:rPr>
              <w:rPr>
                <w:rFonts w:ascii="Latin Modern Math" w:hAnsi="Latin Modern Math"/>
              </w:rPr>
              <m:t>-</m:t>
            </m:r>
            <m:r>
              <w:rPr>
                <w:rFonts w:ascii="Latin Modern Math" w:hAnsi="Latin Modern Math"/>
              </w:rPr>
              <m:t>s</m:t>
            </m:r>
          </m:e>
        </m:d>
        <m:d>
          <m:dPr>
            <m:ctrlPr>
              <w:rPr>
                <w:rFonts w:ascii="Latin Modern Math" w:hAnsi="Latin Modern Math"/>
              </w:rPr>
            </m:ctrlPr>
          </m:dPr>
          <m:e>
            <m:r>
              <w:rPr>
                <w:rFonts w:ascii="Latin Modern Math" w:hAnsi="Latin Modern Math"/>
              </w:rPr>
              <m:t>1</m:t>
            </m:r>
            <m:r>
              <m:rPr>
                <m:sty m:val="p"/>
              </m:rPr>
              <w:rPr>
                <w:rFonts w:ascii="Latin Modern Math" w:hAnsi="Latin Modern Math"/>
              </w:rPr>
              <m:t>-</m:t>
            </m:r>
            <m:r>
              <w:rPr>
                <w:rFonts w:ascii="Latin Modern Math" w:hAnsi="Latin Modern Math"/>
              </w:rPr>
              <m:t>s</m:t>
            </m:r>
          </m:e>
        </m:d>
      </m:oMath>
      <w:r>
        <w:t xml:space="preserve">. More generally, an individual with </w:t>
      </w:r>
      <m:oMath>
        <m:r>
          <w:rPr>
            <w:rFonts w:ascii="Latin Modern Math" w:hAnsi="Latin Modern Math"/>
          </w:rPr>
          <m:t>k</m:t>
        </m:r>
      </m:oMath>
      <w:r>
        <w:t xml:space="preserve"> mutations would have a relative fitness of</w:t>
      </w:r>
    </w:p>
    <w:p w14:paraId="09B0E9A7" w14:textId="77777777" w:rsidR="00FD0189" w:rsidRDefault="00000000">
      <w:pPr>
        <w:pStyle w:val="BodyText"/>
      </w:pPr>
      <m:oMathPara>
        <m:oMathParaPr>
          <m:jc m:val="center"/>
        </m:oMathParaPr>
        <m:oMath>
          <m:sSub>
            <m:sSubPr>
              <m:ctrlPr>
                <w:rPr>
                  <w:rFonts w:ascii="Latin Modern Math" w:hAnsi="Latin Modern Math"/>
                </w:rPr>
              </m:ctrlPr>
            </m:sSubPr>
            <m:e>
              <m:r>
                <w:rPr>
                  <w:rFonts w:ascii="Latin Modern Math" w:hAnsi="Latin Modern Math"/>
                </w:rPr>
                <m:t>w</m:t>
              </m:r>
            </m:e>
            <m:sub>
              <m:r>
                <w:rPr>
                  <w:rFonts w:ascii="Latin Modern Math" w:hAnsi="Latin Modern Math"/>
                </w:rPr>
                <m:t>k</m:t>
              </m:r>
            </m:sub>
          </m:sSub>
          <m:r>
            <m:rPr>
              <m:sty m:val="p"/>
            </m:rPr>
            <w:rPr>
              <w:rFonts w:ascii="Latin Modern Math" w:hAnsi="Latin Modern Math"/>
            </w:rPr>
            <m:t>=</m:t>
          </m:r>
          <m:sSup>
            <m:sSupPr>
              <m:ctrlPr>
                <w:rPr>
                  <w:rFonts w:ascii="Latin Modern Math" w:hAnsi="Latin Modern Math"/>
                </w:rPr>
              </m:ctrlPr>
            </m:sSupPr>
            <m:e>
              <m:d>
                <m:dPr>
                  <m:ctrlPr>
                    <w:rPr>
                      <w:rFonts w:ascii="Latin Modern Math" w:hAnsi="Latin Modern Math"/>
                    </w:rPr>
                  </m:ctrlPr>
                </m:dPr>
                <m:e>
                  <m:r>
                    <w:rPr>
                      <w:rFonts w:ascii="Latin Modern Math" w:hAnsi="Latin Modern Math"/>
                    </w:rPr>
                    <m:t>1</m:t>
                  </m:r>
                  <m:r>
                    <m:rPr>
                      <m:sty m:val="p"/>
                    </m:rPr>
                    <w:rPr>
                      <w:rFonts w:ascii="Latin Modern Math" w:hAnsi="Latin Modern Math"/>
                    </w:rPr>
                    <m:t>-</m:t>
                  </m:r>
                  <m:r>
                    <w:rPr>
                      <w:rFonts w:ascii="Latin Modern Math" w:hAnsi="Latin Modern Math"/>
                    </w:rPr>
                    <m:t>s</m:t>
                  </m:r>
                </m:e>
              </m:d>
            </m:e>
            <m:sup>
              <m:r>
                <w:rPr>
                  <w:rFonts w:ascii="Latin Modern Math" w:hAnsi="Latin Modern Math"/>
                </w:rPr>
                <m:t>k</m:t>
              </m:r>
            </m:sup>
          </m:sSup>
          <m:r>
            <m:rPr>
              <m:sty m:val="p"/>
            </m:rPr>
            <w:rPr>
              <w:rFonts w:ascii="Latin Modern Math" w:hAnsi="Latin Modern Math"/>
            </w:rPr>
            <m:t>.</m:t>
          </m:r>
        </m:oMath>
      </m:oMathPara>
    </w:p>
    <w:p w14:paraId="63005E9E" w14:textId="77777777" w:rsidR="00FD0189" w:rsidRDefault="00000000">
      <w:pPr>
        <w:pStyle w:val="FirstParagraph"/>
      </w:pPr>
      <w:r>
        <w:t xml:space="preserve">Haigh assumed that the number of </w:t>
      </w:r>
      <w:r>
        <w:rPr>
          <w:i/>
          <w:iCs/>
        </w:rPr>
        <w:t>individuals</w:t>
      </w:r>
      <w:r>
        <w:t xml:space="preserve"> having </w:t>
      </w:r>
      <m:oMath>
        <m:r>
          <w:rPr>
            <w:rFonts w:ascii="Latin Modern Math" w:hAnsi="Latin Modern Math"/>
          </w:rPr>
          <m:t>k</m:t>
        </m:r>
      </m:oMath>
      <w:r>
        <w:t xml:space="preserve"> mutations </w:t>
      </w:r>
      <m:oMath>
        <m:d>
          <m:dPr>
            <m:ctrlPr>
              <w:rPr>
                <w:rFonts w:ascii="Latin Modern Math" w:hAnsi="Latin Modern Math"/>
              </w:rPr>
            </m:ctrlPr>
          </m:dPr>
          <m:e>
            <m:sSub>
              <m:sSubPr>
                <m:ctrlPr>
                  <w:rPr>
                    <w:rFonts w:ascii="Latin Modern Math" w:hAnsi="Latin Modern Math"/>
                  </w:rPr>
                </m:ctrlPr>
              </m:sSubPr>
              <m:e>
                <m:r>
                  <w:rPr>
                    <w:rFonts w:ascii="Latin Modern Math" w:hAnsi="Latin Modern Math"/>
                  </w:rPr>
                  <m:t>n</m:t>
                </m:r>
              </m:e>
              <m:sub>
                <m:r>
                  <w:rPr>
                    <w:rFonts w:ascii="Latin Modern Math" w:hAnsi="Latin Modern Math"/>
                  </w:rPr>
                  <m:t>k</m:t>
                </m:r>
              </m:sub>
            </m:sSub>
          </m:e>
        </m:d>
      </m:oMath>
      <w:r>
        <w:t xml:space="preserve"> at mutation-selection balance also follow a Poisson distribution, such that</w:t>
      </w:r>
    </w:p>
    <w:p w14:paraId="203AC105" w14:textId="77777777" w:rsidR="00FD0189" w:rsidRDefault="00000000">
      <w:pPr>
        <w:pStyle w:val="BodyText"/>
      </w:pPr>
      <m:oMathPara>
        <m:oMathParaPr>
          <m:jc m:val="center"/>
        </m:oMathParaPr>
        <m:oMath>
          <m:sSub>
            <m:sSubPr>
              <m:ctrlPr>
                <w:rPr>
                  <w:rFonts w:ascii="Latin Modern Math" w:hAnsi="Latin Modern Math"/>
                </w:rPr>
              </m:ctrlPr>
            </m:sSubPr>
            <m:e>
              <m:r>
                <w:rPr>
                  <w:rFonts w:ascii="Latin Modern Math" w:hAnsi="Latin Modern Math"/>
                </w:rPr>
                <m:t>n</m:t>
              </m:r>
            </m:e>
            <m:sub>
              <m:r>
                <w:rPr>
                  <w:rFonts w:ascii="Latin Modern Math" w:hAnsi="Latin Modern Math"/>
                </w:rPr>
                <m:t>k</m:t>
              </m:r>
            </m:sub>
          </m:sSub>
          <m:r>
            <m:rPr>
              <m:sty m:val="p"/>
            </m:rPr>
            <w:rPr>
              <w:rFonts w:ascii="Latin Modern Math" w:hAnsi="Latin Modern Math"/>
            </w:rPr>
            <m:t>=</m:t>
          </m:r>
          <m:f>
            <m:fPr>
              <m:ctrlPr>
                <w:rPr>
                  <w:rFonts w:ascii="Latin Modern Math" w:hAnsi="Latin Modern Math"/>
                </w:rPr>
              </m:ctrlPr>
            </m:fPr>
            <m:num>
              <m:sSub>
                <m:sSubPr>
                  <m:ctrlPr>
                    <w:rPr>
                      <w:rFonts w:ascii="Latin Modern Math" w:hAnsi="Latin Modern Math"/>
                    </w:rPr>
                  </m:ctrlPr>
                </m:sSubPr>
                <m:e>
                  <m:r>
                    <w:rPr>
                      <w:rFonts w:ascii="Latin Modern Math" w:hAnsi="Latin Modern Math"/>
                    </w:rPr>
                    <m:t>n</m:t>
                  </m:r>
                </m:e>
                <m:sub>
                  <m:r>
                    <w:rPr>
                      <w:rFonts w:ascii="Latin Modern Math" w:hAnsi="Latin Modern Math"/>
                    </w:rPr>
                    <m:t>0</m:t>
                  </m:r>
                </m:sub>
              </m:sSub>
              <m:sSup>
                <m:sSupPr>
                  <m:ctrlPr>
                    <w:rPr>
                      <w:rFonts w:ascii="Latin Modern Math" w:hAnsi="Latin Modern Math"/>
                    </w:rPr>
                  </m:ctrlPr>
                </m:sSupPr>
                <m:e>
                  <m:d>
                    <m:dPr>
                      <m:ctrlPr>
                        <w:rPr>
                          <w:rFonts w:ascii="Latin Modern Math" w:hAnsi="Latin Modern Math"/>
                        </w:rPr>
                      </m:ctrlPr>
                    </m:dPr>
                    <m:e>
                      <m:f>
                        <m:fPr>
                          <m:ctrlPr>
                            <w:rPr>
                              <w:rFonts w:ascii="Latin Modern Math" w:hAnsi="Latin Modern Math"/>
                            </w:rPr>
                          </m:ctrlPr>
                        </m:fPr>
                        <m:num>
                          <m:r>
                            <w:rPr>
                              <w:rFonts w:ascii="Latin Modern Math" w:hAnsi="Latin Modern Math"/>
                            </w:rPr>
                            <m:t>U</m:t>
                          </m:r>
                        </m:num>
                        <m:den>
                          <m:r>
                            <w:rPr>
                              <w:rFonts w:ascii="Latin Modern Math" w:hAnsi="Latin Modern Math"/>
                            </w:rPr>
                            <m:t>s</m:t>
                          </m:r>
                        </m:den>
                      </m:f>
                    </m:e>
                  </m:d>
                </m:e>
                <m:sup>
                  <m:r>
                    <w:rPr>
                      <w:rFonts w:ascii="Latin Modern Math" w:hAnsi="Latin Modern Math"/>
                    </w:rPr>
                    <m:t>k</m:t>
                  </m:r>
                </m:sup>
              </m:sSup>
            </m:num>
            <m:den>
              <m:r>
                <w:rPr>
                  <w:rFonts w:ascii="Latin Modern Math" w:hAnsi="Latin Modern Math"/>
                </w:rPr>
                <m:t>k</m:t>
              </m:r>
              <m:r>
                <m:rPr>
                  <m:sty m:val="p"/>
                </m:rPr>
                <w:rPr>
                  <w:rFonts w:ascii="Latin Modern Math" w:hAnsi="Latin Modern Math"/>
                </w:rPr>
                <m:t>!</m:t>
              </m:r>
            </m:den>
          </m:f>
          <m:r>
            <m:rPr>
              <m:sty m:val="p"/>
            </m:rPr>
            <w:rPr>
              <w:rFonts w:ascii="Latin Modern Math" w:hAnsi="Latin Modern Math"/>
            </w:rPr>
            <m:t>.</m:t>
          </m:r>
        </m:oMath>
      </m:oMathPara>
    </w:p>
    <w:p w14:paraId="090BACB2" w14:textId="77777777" w:rsidR="00FD0189" w:rsidRDefault="00000000">
      <w:pPr>
        <w:pStyle w:val="FirstParagraph"/>
      </w:pPr>
      <w:r>
        <w:t xml:space="preserve">In this expression, </w:t>
      </w:r>
      <m:oMath>
        <m:sSub>
          <m:sSubPr>
            <m:ctrlPr>
              <w:rPr>
                <w:rFonts w:ascii="Latin Modern Math" w:hAnsi="Latin Modern Math"/>
              </w:rPr>
            </m:ctrlPr>
          </m:sSubPr>
          <m:e>
            <m:r>
              <w:rPr>
                <w:rFonts w:ascii="Latin Modern Math" w:hAnsi="Latin Modern Math"/>
              </w:rPr>
              <m:t>n</m:t>
            </m:r>
          </m:e>
          <m:sub>
            <m:r>
              <w:rPr>
                <w:rFonts w:ascii="Latin Modern Math" w:hAnsi="Latin Modern Math"/>
              </w:rPr>
              <m:t>0</m:t>
            </m:r>
          </m:sub>
        </m:sSub>
      </m:oMath>
      <w:r>
        <w:t xml:space="preserve"> is the number of individuals with zero mutations, which is the least-loaded class. How many individuals in the least-loaded class? Let </w:t>
      </w:r>
      <m:oMath>
        <m:r>
          <w:rPr>
            <w:rFonts w:ascii="Latin Modern Math" w:hAnsi="Latin Modern Math"/>
          </w:rPr>
          <m:t>N</m:t>
        </m:r>
      </m:oMath>
      <w:r>
        <w:t xml:space="preserve"> be the total number of individuals in the clonal population. Under a Poisson distribution for mutational load, the number of individuals in the least-loaded class is</w:t>
      </w:r>
    </w:p>
    <w:p w14:paraId="1FECCDE8" w14:textId="77777777" w:rsidR="00FD0189" w:rsidRDefault="00000000">
      <w:pPr>
        <w:pStyle w:val="BodyText"/>
      </w:pPr>
      <m:oMathPara>
        <m:oMathParaPr>
          <m:jc m:val="center"/>
        </m:oMathParaPr>
        <m:oMath>
          <m:sSub>
            <m:sSubPr>
              <m:ctrlPr>
                <w:rPr>
                  <w:rFonts w:ascii="Latin Modern Math" w:hAnsi="Latin Modern Math"/>
                </w:rPr>
              </m:ctrlPr>
            </m:sSubPr>
            <m:e>
              <m:r>
                <w:rPr>
                  <w:rFonts w:ascii="Latin Modern Math" w:hAnsi="Latin Modern Math"/>
                </w:rPr>
                <m:t>n</m:t>
              </m:r>
            </m:e>
            <m:sub>
              <m:r>
                <w:rPr>
                  <w:rFonts w:ascii="Latin Modern Math" w:hAnsi="Latin Modern Math"/>
                </w:rPr>
                <m:t>0</m:t>
              </m:r>
            </m:sub>
          </m:sSub>
          <m:r>
            <m:rPr>
              <m:sty m:val="p"/>
            </m:rPr>
            <w:rPr>
              <w:rFonts w:ascii="Latin Modern Math" w:hAnsi="Latin Modern Math"/>
            </w:rPr>
            <m:t>=</m:t>
          </m:r>
          <m:r>
            <w:rPr>
              <w:rFonts w:ascii="Latin Modern Math" w:hAnsi="Latin Modern Math"/>
            </w:rPr>
            <m:t>N</m:t>
          </m:r>
          <m:sSup>
            <m:sSupPr>
              <m:ctrlPr>
                <w:rPr>
                  <w:rFonts w:ascii="Latin Modern Math" w:hAnsi="Latin Modern Math"/>
                </w:rPr>
              </m:ctrlPr>
            </m:sSupPr>
            <m:e>
              <m:r>
                <w:rPr>
                  <w:rFonts w:ascii="Latin Modern Math" w:hAnsi="Latin Modern Math"/>
                </w:rPr>
                <m:t>e</m:t>
              </m:r>
            </m:e>
            <m:sup>
              <m:r>
                <m:rPr>
                  <m:sty m:val="p"/>
                </m:rPr>
                <w:rPr>
                  <w:rFonts w:ascii="Latin Modern Math" w:hAnsi="Latin Modern Math"/>
                </w:rPr>
                <m:t>-</m:t>
              </m:r>
              <m:r>
                <w:rPr>
                  <w:rFonts w:ascii="Latin Modern Math" w:hAnsi="Latin Modern Math"/>
                </w:rPr>
                <m:t>U</m:t>
              </m:r>
              <m:r>
                <m:rPr>
                  <m:sty m:val="p"/>
                </m:rPr>
                <w:rPr>
                  <w:rFonts w:ascii="Latin Modern Math" w:hAnsi="Latin Modern Math"/>
                </w:rPr>
                <m:t>/</m:t>
              </m:r>
              <m:r>
                <w:rPr>
                  <w:rFonts w:ascii="Latin Modern Math" w:hAnsi="Latin Modern Math"/>
                </w:rPr>
                <m:t>s</m:t>
              </m:r>
            </m:sup>
          </m:sSup>
        </m:oMath>
      </m:oMathPara>
    </w:p>
    <w:p w14:paraId="5AA3FB52" w14:textId="77777777" w:rsidR="00FD0189" w:rsidRDefault="00000000">
      <w:pPr>
        <w:pStyle w:val="FirstParagraph"/>
      </w:pPr>
      <w:r>
        <w:t xml:space="preserve">where </w:t>
      </w:r>
      <m:oMath>
        <m:sSup>
          <m:sSupPr>
            <m:ctrlPr>
              <w:rPr>
                <w:rFonts w:ascii="Latin Modern Math" w:hAnsi="Latin Modern Math"/>
              </w:rPr>
            </m:ctrlPr>
          </m:sSupPr>
          <m:e>
            <m:r>
              <w:rPr>
                <w:rFonts w:ascii="Latin Modern Math" w:hAnsi="Latin Modern Math"/>
              </w:rPr>
              <m:t>e</m:t>
            </m:r>
          </m:e>
          <m:sup>
            <m:r>
              <m:rPr>
                <m:sty m:val="p"/>
              </m:rPr>
              <w:rPr>
                <w:rFonts w:ascii="Latin Modern Math" w:hAnsi="Latin Modern Math"/>
              </w:rPr>
              <m:t>-</m:t>
            </m:r>
            <m:r>
              <w:rPr>
                <w:rFonts w:ascii="Latin Modern Math" w:hAnsi="Latin Modern Math"/>
              </w:rPr>
              <m:t>U</m:t>
            </m:r>
            <m:r>
              <m:rPr>
                <m:sty m:val="p"/>
              </m:rPr>
              <w:rPr>
                <w:rFonts w:ascii="Latin Modern Math" w:hAnsi="Latin Modern Math"/>
              </w:rPr>
              <m:t>/</m:t>
            </m:r>
            <m:r>
              <w:rPr>
                <w:rFonts w:ascii="Latin Modern Math" w:hAnsi="Latin Modern Math"/>
              </w:rPr>
              <m:t>s</m:t>
            </m:r>
          </m:sup>
        </m:sSup>
      </m:oMath>
      <w:r>
        <w:t xml:space="preserve"> is the frequency of individuals in the zero class. This means that the LLC can be quite small, even in large clonal populations. For example, let </w:t>
      </w:r>
      <m:oMath>
        <m:r>
          <w:rPr>
            <w:rFonts w:ascii="Latin Modern Math" w:hAnsi="Latin Modern Math"/>
          </w:rPr>
          <m:t>N</m:t>
        </m:r>
        <m:r>
          <m:rPr>
            <m:sty m:val="p"/>
          </m:rPr>
          <w:rPr>
            <w:rFonts w:ascii="Latin Modern Math" w:hAnsi="Latin Modern Math"/>
          </w:rPr>
          <m:t>=</m:t>
        </m:r>
        <m:r>
          <w:rPr>
            <w:rFonts w:ascii="Latin Modern Math" w:hAnsi="Latin Modern Math"/>
          </w:rPr>
          <m:t>100</m:t>
        </m:r>
        <m:r>
          <m:rPr>
            <m:sty m:val="p"/>
          </m:rPr>
          <w:rPr>
            <w:rFonts w:ascii="Latin Modern Math" w:hAnsi="Latin Modern Math"/>
          </w:rPr>
          <m:t>,</m:t>
        </m:r>
        <m:r>
          <w:rPr>
            <w:rFonts w:ascii="Latin Modern Math" w:hAnsi="Latin Modern Math"/>
          </w:rPr>
          <m:t>000</m:t>
        </m:r>
      </m:oMath>
      <w:r>
        <w:t xml:space="preserve">, let </w:t>
      </w:r>
      <m:oMath>
        <m:r>
          <w:rPr>
            <w:rFonts w:ascii="Latin Modern Math" w:hAnsi="Latin Modern Math"/>
          </w:rPr>
          <m:t>s</m:t>
        </m:r>
        <m:r>
          <m:rPr>
            <m:sty m:val="p"/>
          </m:rPr>
          <w:rPr>
            <w:rFonts w:ascii="Latin Modern Math" w:hAnsi="Latin Modern Math"/>
          </w:rPr>
          <m:t>=</m:t>
        </m:r>
        <m:r>
          <w:rPr>
            <w:rFonts w:ascii="Latin Modern Math" w:hAnsi="Latin Modern Math"/>
          </w:rPr>
          <m:t>0.02</m:t>
        </m:r>
      </m:oMath>
      <w:r>
        <w:t xml:space="preserve">, and let </w:t>
      </w:r>
      <m:oMath>
        <m:r>
          <w:rPr>
            <w:rFonts w:ascii="Latin Modern Math" w:hAnsi="Latin Modern Math"/>
          </w:rPr>
          <m:t>U</m:t>
        </m:r>
        <m:r>
          <m:rPr>
            <m:sty m:val="p"/>
          </m:rPr>
          <w:rPr>
            <w:rFonts w:ascii="Latin Modern Math" w:hAnsi="Latin Modern Math"/>
          </w:rPr>
          <m:t>=</m:t>
        </m:r>
        <m:r>
          <w:rPr>
            <w:rFonts w:ascii="Latin Modern Math" w:hAnsi="Latin Modern Math"/>
          </w:rPr>
          <m:t>0.2</m:t>
        </m:r>
      </m:oMath>
      <w:r>
        <w:t xml:space="preserve">. Plugging these values into the solution for </w:t>
      </w:r>
      <m:oMath>
        <m:sSub>
          <m:sSubPr>
            <m:ctrlPr>
              <w:rPr>
                <w:rFonts w:ascii="Latin Modern Math" w:hAnsi="Latin Modern Math"/>
              </w:rPr>
            </m:ctrlPr>
          </m:sSubPr>
          <m:e>
            <m:r>
              <w:rPr>
                <w:rFonts w:ascii="Latin Modern Math" w:hAnsi="Latin Modern Math"/>
              </w:rPr>
              <m:t>n</m:t>
            </m:r>
          </m:e>
          <m:sub>
            <m:r>
              <w:rPr>
                <w:rFonts w:ascii="Latin Modern Math" w:hAnsi="Latin Modern Math"/>
              </w:rPr>
              <m:t>0</m:t>
            </m:r>
          </m:sub>
        </m:sSub>
      </m:oMath>
      <w:r>
        <w:t xml:space="preserve"> we find that only five individuals would be in the LLC at mutation-selection balance. Such a small group is at risk of loss by genetic drift.</w:t>
      </w:r>
    </w:p>
    <w:p w14:paraId="5FED61E9" w14:textId="77777777" w:rsidR="00FD0189" w:rsidRDefault="00000000">
      <w:pPr>
        <w:pStyle w:val="BodyText"/>
      </w:pPr>
      <w:r>
        <w:t>Haigh ran simulations to study the loss of the LLC, and the effect of this loss on the distribution of mutational classes. He found that following the loss of the LLC, the entire distribution shifted to a greater mean number of mutations, but the shape of the distribution remained constant. Hence, after one click of the ratchet, the LLC still had about five individuals, but now the LLC had one additional mutation. The mean number of mutations had also increased by one.</w:t>
      </w:r>
    </w:p>
    <w:p w14:paraId="30D221C7" w14:textId="77777777" w:rsidR="00FD0189" w:rsidRDefault="00000000">
      <w:pPr>
        <w:pStyle w:val="Heading1"/>
      </w:pPr>
      <w:bookmarkStart w:id="116" w:name="overview-and-future-directions"/>
      <w:bookmarkStart w:id="117" w:name="_Toc159248518"/>
      <w:bookmarkEnd w:id="97"/>
      <w:bookmarkEnd w:id="114"/>
      <w:r>
        <w:lastRenderedPageBreak/>
        <w:t>7. Overview and Future Directions</w:t>
      </w:r>
      <w:bookmarkEnd w:id="117"/>
    </w:p>
    <w:p w14:paraId="0866ABFC" w14:textId="77777777" w:rsidR="00FD0189" w:rsidRDefault="00000000">
      <w:pPr>
        <w:pStyle w:val="FirstParagraph"/>
      </w:pPr>
      <w:r>
        <w:rPr>
          <w:noProof/>
        </w:rPr>
        <w:drawing>
          <wp:inline distT="0" distB="0" distL="0" distR="0" wp14:anchorId="0D74B0AC" wp14:editId="5A8EC9F5">
            <wp:extent cx="2199132" cy="2714050"/>
            <wp:effectExtent l="0" t="0" r="0" b="0"/>
            <wp:docPr id="274" name="Picture">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74" name="Picture">
                      <a:extLst>
                        <a:ext uri="{C183D7F6-B498-43B3-948B-1728B52AA6E4}">
                          <adec:decorative xmlns:adec="http://schemas.microsoft.com/office/drawing/2017/decorative" val="1"/>
                        </a:ext>
                      </a:extLst>
                    </pic:cNvPr>
                    <pic:cNvPicPr>
                      <a:picLocks noChangeAspect="1" noChangeArrowheads="1"/>
                    </pic:cNvPicPr>
                  </pic:nvPicPr>
                  <pic:blipFill>
                    <a:blip r:embed="rId69"/>
                    <a:stretch>
                      <a:fillRect/>
                    </a:stretch>
                  </pic:blipFill>
                  <pic:spPr bwMode="auto">
                    <a:xfrm>
                      <a:off x="0" y="0"/>
                      <a:ext cx="2199132" cy="2714050"/>
                    </a:xfrm>
                    <a:prstGeom prst="rect">
                      <a:avLst/>
                    </a:prstGeom>
                    <a:noFill/>
                    <a:ln w="9525">
                      <a:noFill/>
                      <a:headEnd/>
                      <a:tailEnd/>
                    </a:ln>
                  </pic:spPr>
                </pic:pic>
              </a:graphicData>
            </a:graphic>
          </wp:inline>
        </w:drawing>
      </w:r>
    </w:p>
    <w:p w14:paraId="65E08A1B" w14:textId="77777777" w:rsidR="00FD0189" w:rsidRDefault="00000000">
      <w:pPr>
        <w:pStyle w:val="BodyText"/>
      </w:pPr>
      <w:r>
        <w:rPr>
          <w:i/>
          <w:iCs/>
        </w:rPr>
        <w:t>“[A]nd what is the use of a book,” thought Alice, “without pictures or conversations?”</w:t>
      </w:r>
      <w:r>
        <w:br/>
        <w:t xml:space="preserve">–Lewis Carroll, </w:t>
      </w:r>
      <w:r>
        <w:rPr>
          <w:i/>
          <w:iCs/>
        </w:rPr>
        <w:t>Alice’s Adventures in Wonderland</w:t>
      </w:r>
    </w:p>
    <w:p w14:paraId="721F2A69" w14:textId="77777777" w:rsidR="00FD0189" w:rsidRDefault="00000000">
      <w:pPr>
        <w:pStyle w:val="Heading2"/>
      </w:pPr>
      <w:bookmarkStart w:id="118" w:name="overview-of-key-points"/>
      <w:bookmarkStart w:id="119" w:name="_Toc159248519"/>
      <w:r>
        <w:t>7.1 Overview of Key Points</w:t>
      </w:r>
      <w:bookmarkEnd w:id="119"/>
    </w:p>
    <w:p w14:paraId="30AB00F8" w14:textId="77777777" w:rsidR="00FD0189" w:rsidRDefault="00000000">
      <w:pPr>
        <w:pStyle w:val="FirstParagraph"/>
      </w:pPr>
      <w:r>
        <w:t>The main goal of this first volume is to illustrate the perplexing problem of sexual reproduction. The gist of the paradox is that sex is costly, but common. Here I focus on the intrinsic cost of producing males, which arises in sexual populations when competing with parthenogenetic females. The problem is that sexual females produce males and females, but males do not directly produce offspring. Thus, the production of males reduces the per-capita number of births in the sexual population. If sexual females produce a one-to-one (male-to-female) sex ratio, a clonal lineage would be expected to double in frequency when rare and then rapidly replace the sexual individuals living in coexistence. This argument assumes that sexual and asexual females are equally fecund and their offspring have equal expectations for survivorship and reproduction. This is the well-known “all else equal” assumption used by Maynard Smith to build his model. If the sex-ratio is female-biased in the sexual population, then the clone will still replace the sexual population, but the rate of replacement is slower (</w:t>
      </w:r>
      <w:hyperlink w:anchor="fig-1.2">
        <w:r>
          <w:rPr>
            <w:rStyle w:val="Hyperlink"/>
          </w:rPr>
          <w:t>Figure 1.2</w:t>
        </w:r>
      </w:hyperlink>
      <w:r>
        <w:t>).</w:t>
      </w:r>
    </w:p>
    <w:p w14:paraId="2B5109A1" w14:textId="77777777" w:rsidR="00FD0189" w:rsidRDefault="00000000">
      <w:pPr>
        <w:pStyle w:val="BodyText"/>
      </w:pPr>
      <w:r>
        <w:t>One possible explanation for the persistence of sexual populations is that the all-else-equal assumption is incorrect. If, for example, asexuals intrinsically produce fewer than half of the surviving daughters per capita as sexual females, then asexual mutants will be eliminated by selection even in stable environments where resources are abundant and biological enemies are absent. A more interesting possibility for the persistence of sexual reproduction is that ecological factors reduce the fecundity and/or survivorship of parthenogenetic females. This idea makes sense to some degree. The problem is that, for a two-fold cost of males, the ecological factors must reduce the daughter production of asexual females to fewer than half that of sexual females. That requires very strong natural selection.</w:t>
      </w:r>
    </w:p>
    <w:p w14:paraId="5EEB2FAA" w14:textId="77777777" w:rsidR="00FD0189" w:rsidRDefault="00000000">
      <w:pPr>
        <w:pStyle w:val="BodyText"/>
      </w:pPr>
      <w:r>
        <w:lastRenderedPageBreak/>
        <w:t xml:space="preserve">In </w:t>
      </w:r>
      <w:hyperlink w:anchor="sec-eco-hyp">
        <w:r>
          <w:rPr>
            <w:rStyle w:val="Hyperlink"/>
          </w:rPr>
          <w:t>Chapter 2</w:t>
        </w:r>
      </w:hyperlink>
      <w:r>
        <w:t xml:space="preserve">, I reviewed three ideas for why sexual reproduction might be stable against replacement by parthenogenetic females (following </w:t>
      </w:r>
      <w:hyperlink w:anchor="ref-bell1982a">
        <w:r>
          <w:rPr>
            <w:rStyle w:val="Hyperlink"/>
          </w:rPr>
          <w:t>Bell 1982</w:t>
        </w:r>
      </w:hyperlink>
      <w:r>
        <w:t xml:space="preserve">). The first of these, the Lottery Model, proposes that sexual reproduction is favored in fluctuating abiotic environments. For example, a clone that is adapted to cold/dry conditions might not survive following a change to hot/wet conditions. On the other hand, it is easy to imagine that some fraction of a genetically diverse sexual population might survive the change. I tried to give a more formal basis to this idea in </w:t>
      </w:r>
      <w:hyperlink w:anchor="sec-eco-hyp">
        <w:r>
          <w:rPr>
            <w:rStyle w:val="Hyperlink"/>
          </w:rPr>
          <w:t>Chapter 2</w:t>
        </w:r>
      </w:hyperlink>
      <w:r>
        <w:t>, but I think this example gives the gist.</w:t>
      </w:r>
    </w:p>
    <w:p w14:paraId="7F908637" w14:textId="77777777" w:rsidR="00FD0189" w:rsidRDefault="00000000">
      <w:pPr>
        <w:pStyle w:val="BodyText"/>
      </w:pPr>
      <w:r>
        <w:t>The second hypothesis, the Tangled Bank, focuses on intraspecific competition. Consider, for example, two genetically determined sexual morphs that specialize on different resource types. Let’s assume that the two genotypes are maintained by frequency-dependent selection when resource competition is intense. A clone, however, might be expected to specialize on one or the other but not both patches. As such, the clone would not be able to completely replace the sexual population. But what if a second clone arises by mutation in the sexual population?</w:t>
      </w:r>
    </w:p>
    <w:p w14:paraId="6679D6AD" w14:textId="77777777" w:rsidR="00FD0189" w:rsidRDefault="00000000">
      <w:pPr>
        <w:pStyle w:val="BodyText"/>
      </w:pPr>
      <w:r>
        <w:t>The third hypothesis, the Red Queen, resembles the Lottery Model in that selection changes over time. But under the Red Queen, the change is predictable: the environment always changes to select against the most common genotype. Coevolving parasites are the most likely environmental force to generate this kind of frequency-dependent selection against their hosts. However, the hypothesis requires that different parasite genotypes specialize on infecting different host genotypes and that the fitness consequences of infection are severe.</w:t>
      </w:r>
      <w:r>
        <w:rPr>
          <w:rStyle w:val="FootnoteReference"/>
        </w:rPr>
        <w:footnoteReference w:id="57"/>
      </w:r>
    </w:p>
    <w:p w14:paraId="6B2D9DDC" w14:textId="77777777" w:rsidR="00FD0189" w:rsidRDefault="00000000">
      <w:pPr>
        <w:pStyle w:val="BodyText"/>
      </w:pPr>
      <w:r>
        <w:t xml:space="preserve">In </w:t>
      </w:r>
      <w:hyperlink w:anchor="sec-eco-hyp-cont">
        <w:r>
          <w:rPr>
            <w:rStyle w:val="Hyperlink"/>
          </w:rPr>
          <w:t>Chapter 3</w:t>
        </w:r>
      </w:hyperlink>
      <w:r>
        <w:t xml:space="preserve">, I introduced a biological system that could be used to contrast these different ideas. The snail, </w:t>
      </w:r>
      <w:r>
        <w:rPr>
          <w:i/>
          <w:iCs/>
        </w:rPr>
        <w:t>Potamopyrgus antipodarum</w:t>
      </w:r>
      <w:r>
        <w:t>, lives in freshwater habitats across New Zealand. Importantly, it is one of the few organisms for which sexual and asexual females coexist. By sampling snail populations from different habitats, I found that the Red Queen hypothesis was the best supported of the three ecological alternatives. More specifically, the frequency of sexual individuals was more strongly associated with the presence of infection by parasitic trematodes than with habitat per se (lake versus streams). The most common parasite is especially curious, as the larval trematodes encyst in the snail and sterilize it. Hence selection could be very strong.</w:t>
      </w:r>
    </w:p>
    <w:p w14:paraId="500DFA28" w14:textId="77777777" w:rsidR="00FD0189" w:rsidRDefault="00000000">
      <w:pPr>
        <w:pStyle w:val="BodyText"/>
      </w:pPr>
      <w:r>
        <w:t>Correlation is not causation, but it can suggest profitable research directions. Here sex and infection are positively correlated, but does a high risk of infection by virulent parasites increase the selective value of cross fertilization? One requirement for the Red Queen to work is that parasites select against common genotypes. This is a hard question to answer, but one expectation of the general phenomenon is that parasites would be adapted to infecting host snails from the same rather than remote populations. Multiple reciprocal cross-infection experiments showed this to be the case (</w:t>
      </w:r>
      <w:hyperlink w:anchor="sec-self-non">
        <w:r>
          <w:rPr>
            <w:rStyle w:val="Hyperlink"/>
          </w:rPr>
          <w:t>Chapter 4</w:t>
        </w:r>
      </w:hyperlink>
      <w:r>
        <w:t>). Hence there must be a genetic basis to infection, meeting a strong requirement of the Red Queen hypothesis.</w:t>
      </w:r>
    </w:p>
    <w:p w14:paraId="4342A679" w14:textId="77777777" w:rsidR="00FD0189" w:rsidRDefault="00000000">
      <w:pPr>
        <w:pStyle w:val="BodyText"/>
      </w:pPr>
      <w:r>
        <w:t xml:space="preserve">But are common snail clones disproportionately infected? I will discuss empirical tests of this question in Volume 2. But there is evidence from mixed (sexual and asexual) populations of </w:t>
      </w:r>
      <w:r>
        <w:lastRenderedPageBreak/>
        <w:t>freshwater fish in Mexico (</w:t>
      </w:r>
      <w:hyperlink w:anchor="sec-gyno">
        <w:r>
          <w:rPr>
            <w:rStyle w:val="Hyperlink"/>
          </w:rPr>
          <w:t>Chapter 5</w:t>
        </w:r>
      </w:hyperlink>
      <w:r>
        <w:t>). Consistent with expectation under the Red Queen, the more common clone was more infected than the sexual population. There was one exception, however, in which the sexual population was more infected. But, as it turned out, that sexual population was highly inbred. This suggests that there is no advantage to sex in the absence of genetic diversity, which fits with the overall Red Queen idea.</w:t>
      </w:r>
    </w:p>
    <w:p w14:paraId="6EF956E8" w14:textId="77777777" w:rsidR="00FD0189" w:rsidRDefault="00000000">
      <w:pPr>
        <w:pStyle w:val="BodyText"/>
      </w:pPr>
      <w:r>
        <w:t xml:space="preserve">Any model, such as the Red Queen, that relies on frequency-dependent selection could lead to the accumulation of different clonal genotypes over time. The problem is that a sufficiently diverse set of clones could replace the ancestral sexual population under either the Tangled Bank or the Red Queen. In </w:t>
      </w:r>
      <w:hyperlink w:anchor="sec-chap6">
        <w:r>
          <w:rPr>
            <w:rStyle w:val="Hyperlink"/>
          </w:rPr>
          <w:t>Chapter 6</w:t>
        </w:r>
      </w:hyperlink>
      <w:r>
        <w:t>, I suggested that combining two different hypotheses might offer a solution. Steve Howard and I combined the idea of Red Queen dynamics with the classic mutational idea offered by H.J. Muller. Muller’s idea is the clone incorporates a “ratchet like mechanism,” leading to mutational meltdown. The ratchet-like mechanism works by stochastic loss of the subclones with the fewest mutations. Once lost, these subclones are unlikely to be replaced by back mutation, which leads to an ever-increasing mean number of mutations in the clonal lineage. Parasites could drive the ratchet faster by periodically reducing the number of individuals in the least-loaded class. Hence the ratchet and the Red Queen could work together to prevent the (1) fixation of clones in the short term, and (2) the accumulation of clones in the long term.</w:t>
      </w:r>
    </w:p>
    <w:p w14:paraId="6E87F226" w14:textId="77777777" w:rsidR="00FD0189" w:rsidRDefault="00000000">
      <w:pPr>
        <w:pStyle w:val="Heading2"/>
      </w:pPr>
      <w:bookmarkStart w:id="120" w:name="future-directions"/>
      <w:bookmarkStart w:id="121" w:name="_Toc159248520"/>
      <w:bookmarkEnd w:id="118"/>
      <w:r>
        <w:t>7.2 Future Directions</w:t>
      </w:r>
      <w:bookmarkEnd w:id="121"/>
    </w:p>
    <w:p w14:paraId="70617CFC" w14:textId="77777777" w:rsidR="00FD0189" w:rsidRDefault="00000000">
      <w:pPr>
        <w:pStyle w:val="FirstParagraph"/>
      </w:pPr>
      <w:r>
        <w:t>These early studies suggest that parasites might play a role in selecting against common host genotypes, and that they might contribute to the selective advantage of cross-fertilization. But they also raise several interesting questions, which I will try to address in the next volume. Some of the key questions are as follows:</w:t>
      </w:r>
    </w:p>
    <w:p w14:paraId="6704C003" w14:textId="77777777" w:rsidR="00FD0189" w:rsidRDefault="00000000">
      <w:pPr>
        <w:pStyle w:val="Compact"/>
        <w:numPr>
          <w:ilvl w:val="0"/>
          <w:numId w:val="35"/>
        </w:numPr>
      </w:pPr>
      <w:r>
        <w:t>Where do the snail clones come from? Are they locally derived, or are a few clones distributed across New Zealand?</w:t>
      </w:r>
    </w:p>
    <w:p w14:paraId="3C4725A8" w14:textId="77777777" w:rsidR="00FD0189" w:rsidRDefault="00000000">
      <w:pPr>
        <w:pStyle w:val="Compact"/>
        <w:numPr>
          <w:ilvl w:val="0"/>
          <w:numId w:val="35"/>
        </w:numPr>
      </w:pPr>
      <w:r>
        <w:t xml:space="preserve">Do parasites evolve fast enough to prevent a clone from replacing a sexual population? Are they virulent enough? What causes virulence? Is it infection </w:t>
      </w:r>
      <w:r>
        <w:rPr>
          <w:i/>
          <w:iCs/>
        </w:rPr>
        <w:t>per se</w:t>
      </w:r>
      <w:r>
        <w:t>? Or does virulence depend on ecological context?</w:t>
      </w:r>
    </w:p>
    <w:p w14:paraId="107C6D75" w14:textId="77777777" w:rsidR="00FD0189" w:rsidRDefault="00000000">
      <w:pPr>
        <w:pStyle w:val="Compact"/>
        <w:numPr>
          <w:ilvl w:val="0"/>
          <w:numId w:val="35"/>
        </w:numPr>
      </w:pPr>
      <w:r>
        <w:t>How genetically diverse are the clones within and among snail populations?</w:t>
      </w:r>
    </w:p>
    <w:p w14:paraId="107FE9AA" w14:textId="77777777" w:rsidR="00FD0189" w:rsidRDefault="00000000">
      <w:pPr>
        <w:pStyle w:val="Compact"/>
        <w:numPr>
          <w:ilvl w:val="0"/>
          <w:numId w:val="35"/>
        </w:numPr>
      </w:pPr>
      <w:r>
        <w:t>What is the distribution of clones across habitats in the same lake?</w:t>
      </w:r>
    </w:p>
    <w:p w14:paraId="1633CF2A" w14:textId="77777777" w:rsidR="00FD0189" w:rsidRDefault="00000000">
      <w:pPr>
        <w:pStyle w:val="Compact"/>
        <w:numPr>
          <w:ilvl w:val="0"/>
          <w:numId w:val="35"/>
        </w:numPr>
      </w:pPr>
      <w:r>
        <w:t>Do clonal and sexual females have the same fecundities?</w:t>
      </w:r>
    </w:p>
    <w:p w14:paraId="5C9F3EC5" w14:textId="77777777" w:rsidR="00FD0189" w:rsidRDefault="00000000">
      <w:pPr>
        <w:pStyle w:val="Compact"/>
        <w:numPr>
          <w:ilvl w:val="0"/>
          <w:numId w:val="35"/>
        </w:numPr>
      </w:pPr>
      <w:r>
        <w:t>Would a clone double in frequency when rare?</w:t>
      </w:r>
    </w:p>
    <w:p w14:paraId="6437F477" w14:textId="77777777" w:rsidR="00FD0189" w:rsidRDefault="00000000">
      <w:pPr>
        <w:pStyle w:val="Compact"/>
        <w:numPr>
          <w:ilvl w:val="0"/>
          <w:numId w:val="35"/>
        </w:numPr>
      </w:pPr>
      <w:r>
        <w:t>What is the scale of parasite local adaption? Could it occur within lakes?</w:t>
      </w:r>
    </w:p>
    <w:p w14:paraId="51AA5E75" w14:textId="77777777" w:rsidR="00FD0189" w:rsidRDefault="00000000">
      <w:pPr>
        <w:pStyle w:val="Heading2"/>
      </w:pPr>
      <w:bookmarkStart w:id="122" w:name="questions-for-advanced-study"/>
      <w:bookmarkStart w:id="123" w:name="_Toc159248521"/>
      <w:bookmarkEnd w:id="120"/>
      <w:r>
        <w:t>7.3 Questions for Advanced Study</w:t>
      </w:r>
      <w:bookmarkEnd w:id="123"/>
    </w:p>
    <w:p w14:paraId="0FF6978E" w14:textId="77777777" w:rsidR="00FD0189" w:rsidRDefault="00000000">
      <w:pPr>
        <w:pStyle w:val="FirstParagraph"/>
      </w:pPr>
      <w:r>
        <w:t>My hope is that this text might be used for class discussions. Along these lines, I offer a few questions for advanced study:</w:t>
      </w:r>
    </w:p>
    <w:p w14:paraId="0220EF64" w14:textId="77777777" w:rsidR="00FD0189" w:rsidRDefault="00000000">
      <w:pPr>
        <w:pStyle w:val="Compact"/>
        <w:numPr>
          <w:ilvl w:val="0"/>
          <w:numId w:val="36"/>
        </w:numPr>
      </w:pPr>
      <w:r>
        <w:t xml:space="preserve">Do you think that asexual populations could have higher carrying capacities than sexual populations, as suggested in </w:t>
      </w:r>
      <w:hyperlink w:anchor="fig-1.2">
        <w:r>
          <w:rPr>
            <w:rStyle w:val="Hyperlink"/>
          </w:rPr>
          <w:t>Figure 1.2</w:t>
        </w:r>
      </w:hyperlink>
      <w:r>
        <w:t>? If so, under what conditions? If not, why not?</w:t>
      </w:r>
    </w:p>
    <w:p w14:paraId="448C89C6" w14:textId="77777777" w:rsidR="00FD0189" w:rsidRDefault="00000000">
      <w:pPr>
        <w:pStyle w:val="Compact"/>
        <w:numPr>
          <w:ilvl w:val="0"/>
          <w:numId w:val="36"/>
        </w:numPr>
      </w:pPr>
      <w:r>
        <w:lastRenderedPageBreak/>
        <w:t>Read Darwin’s (</w:t>
      </w:r>
      <w:hyperlink w:anchor="ref-darwin1862a">
        <w:r>
          <w:rPr>
            <w:rStyle w:val="Hyperlink"/>
          </w:rPr>
          <w:t>1862</w:t>
        </w:r>
      </w:hyperlink>
      <w:r>
        <w:t xml:space="preserve">) original paper on cross fertilization in </w:t>
      </w:r>
      <w:r>
        <w:rPr>
          <w:i/>
          <w:iCs/>
        </w:rPr>
        <w:t>Primula</w:t>
      </w:r>
      <w:r>
        <w:t>. Why did he do the cross-pollination experiments? What where the results? Why did he conclude that “the whole subject is hidden in darkness?”</w:t>
      </w:r>
    </w:p>
    <w:p w14:paraId="5E8E3E7B" w14:textId="77777777" w:rsidR="00FD0189" w:rsidRDefault="00000000">
      <w:pPr>
        <w:pStyle w:val="Compact"/>
        <w:numPr>
          <w:ilvl w:val="0"/>
          <w:numId w:val="36"/>
        </w:numPr>
      </w:pPr>
      <w:r>
        <w:t xml:space="preserve">What is the value of having </w:t>
      </w:r>
      <w:r>
        <w:rPr>
          <w:i/>
          <w:iCs/>
        </w:rPr>
        <w:t>a-priori</w:t>
      </w:r>
      <w:r>
        <w:t xml:space="preserve"> hypotheses?</w:t>
      </w:r>
    </w:p>
    <w:p w14:paraId="11FFE574" w14:textId="77777777" w:rsidR="00FD0189" w:rsidRDefault="00000000">
      <w:pPr>
        <w:pStyle w:val="Compact"/>
        <w:numPr>
          <w:ilvl w:val="0"/>
          <w:numId w:val="36"/>
        </w:numPr>
      </w:pPr>
      <w:r>
        <w:t>I suggested that the correlation between sex and infection would be expected to be messy, if observed at all. Is that true? If so, then what factors would contribute the variance among values?</w:t>
      </w:r>
    </w:p>
    <w:p w14:paraId="211254C8" w14:textId="77777777" w:rsidR="00FD0189" w:rsidRDefault="00000000">
      <w:pPr>
        <w:pStyle w:val="Compact"/>
        <w:numPr>
          <w:ilvl w:val="0"/>
          <w:numId w:val="36"/>
        </w:numPr>
      </w:pPr>
      <w:r>
        <w:t>I suggested that hypotheses that rely on negative frequency-dependent selection (including the Tangled Bank and the Red Queen) cannot stand alone if there is repeated mutation to asexual reproduction. Is that right or wrong? Why?</w:t>
      </w:r>
    </w:p>
    <w:p w14:paraId="574B34A0" w14:textId="77777777" w:rsidR="00FD0189" w:rsidRDefault="00000000">
      <w:pPr>
        <w:pStyle w:val="Compact"/>
        <w:numPr>
          <w:ilvl w:val="0"/>
          <w:numId w:val="36"/>
        </w:numPr>
      </w:pPr>
      <w:r>
        <w:t>Under what general conditions would host-parasite coevolution lead to oscillatory genetical dynamics in both the host and the parasite?</w:t>
      </w:r>
    </w:p>
    <w:p w14:paraId="7B2ED243" w14:textId="77777777" w:rsidR="00FD0189" w:rsidRDefault="00000000">
      <w:pPr>
        <w:pStyle w:val="Heading1"/>
      </w:pPr>
      <w:bookmarkStart w:id="124" w:name="sec-glossary"/>
      <w:bookmarkStart w:id="125" w:name="_Toc159248522"/>
      <w:bookmarkEnd w:id="116"/>
      <w:bookmarkEnd w:id="122"/>
      <w:r>
        <w:lastRenderedPageBreak/>
        <w:t>Glossary</w:t>
      </w:r>
      <w:bookmarkEnd w:id="125"/>
    </w:p>
    <w:p w14:paraId="4E454302" w14:textId="77777777" w:rsidR="00FD0189" w:rsidRDefault="00000000">
      <w:pPr>
        <w:pStyle w:val="FirstParagraph"/>
      </w:pPr>
      <w:r>
        <w:rPr>
          <w:b/>
          <w:bCs/>
        </w:rPr>
        <w:t>Short definitions of terms as used in this book. These definitions do not include all possible nuances.</w:t>
      </w:r>
      <w:r>
        <w:br/>
      </w:r>
    </w:p>
    <w:p w14:paraId="52288881" w14:textId="77777777" w:rsidR="00FD0189" w:rsidRDefault="00000000">
      <w:pPr>
        <w:pStyle w:val="BodyText"/>
      </w:pPr>
      <w:r>
        <w:rPr>
          <w:b/>
          <w:bCs/>
        </w:rPr>
        <w:t>carrying capacity:</w:t>
      </w:r>
      <w:r>
        <w:t xml:space="preserve"> The population density at which females have just enough food to replace themselves. Sexual females must make two offspring to replace themselves (assuming a one-to-one sex ratio), while asexual females must only produce one offspring. Hence, asexuals should have higher carrying capacities, as shown in </w:t>
      </w:r>
      <w:hyperlink w:anchor="fig-1.2">
        <w:r>
          <w:rPr>
            <w:rStyle w:val="Hyperlink"/>
          </w:rPr>
          <w:t>Figure 1.2</w:t>
        </w:r>
      </w:hyperlink>
      <w:r>
        <w:t>.</w:t>
      </w:r>
    </w:p>
    <w:p w14:paraId="7809A277" w14:textId="77777777" w:rsidR="00FD0189" w:rsidRDefault="00000000">
      <w:pPr>
        <w:pStyle w:val="BodyText"/>
      </w:pPr>
      <w:r>
        <w:rPr>
          <w:b/>
          <w:bCs/>
        </w:rPr>
        <w:t>clone:</w:t>
      </w:r>
      <w:r>
        <w:t xml:space="preserve"> A lineage of parthenogenetic females descended from the same asexual female. Members of the same clone may have small genetic differences, which accumulate by mutation over time.</w:t>
      </w:r>
    </w:p>
    <w:p w14:paraId="24AA94C3" w14:textId="77777777" w:rsidR="00FD0189" w:rsidRDefault="00000000">
      <w:pPr>
        <w:pStyle w:val="BodyText"/>
      </w:pPr>
      <w:r>
        <w:rPr>
          <w:b/>
          <w:bCs/>
        </w:rPr>
        <w:t>cost of males:</w:t>
      </w:r>
      <w:r>
        <w:t xml:space="preserve"> The reduction in the per-capita growth rate of sexual populations due to the production of males. The cost of males is the appropriate cost for considering sexual subpopulations in competition with obligately asexual subpopulations.</w:t>
      </w:r>
    </w:p>
    <w:p w14:paraId="3F19B51D" w14:textId="77777777" w:rsidR="00FD0189" w:rsidRDefault="00000000">
      <w:pPr>
        <w:pStyle w:val="BodyText"/>
      </w:pPr>
      <w:r>
        <w:rPr>
          <w:b/>
          <w:bCs/>
        </w:rPr>
        <w:t>cost of meiosis:</w:t>
      </w:r>
      <w:r>
        <w:t xml:space="preserve"> The reduction in relatedness between mother and offspring due to outcrossing. The cost of meiosis is the appropriate cost for considering the spread of alleles that induce self-fertilization.</w:t>
      </w:r>
    </w:p>
    <w:p w14:paraId="5845DCD2" w14:textId="77777777" w:rsidR="00FD0189" w:rsidRDefault="00000000">
      <w:pPr>
        <w:pStyle w:val="BodyText"/>
      </w:pPr>
      <w:r>
        <w:rPr>
          <w:b/>
          <w:bCs/>
        </w:rPr>
        <w:t>cross-fertilization:</w:t>
      </w:r>
      <w:r>
        <w:t xml:space="preserve"> The exchange of gametes between different individuals, which may or may not be related.</w:t>
      </w:r>
    </w:p>
    <w:p w14:paraId="0B35427A" w14:textId="77777777" w:rsidR="00FD0189" w:rsidRDefault="00000000">
      <w:pPr>
        <w:pStyle w:val="BodyText"/>
      </w:pPr>
      <w:r>
        <w:rPr>
          <w:b/>
          <w:bCs/>
        </w:rPr>
        <w:t>outcrossing:</w:t>
      </w:r>
      <w:r>
        <w:t xml:space="preserve"> A form of cross-fertilization, which specifies crossing between unrelated individuals.</w:t>
      </w:r>
    </w:p>
    <w:p w14:paraId="1544022A" w14:textId="77777777" w:rsidR="00FD0189" w:rsidRDefault="00000000">
      <w:pPr>
        <w:pStyle w:val="BodyText"/>
      </w:pPr>
      <w:r>
        <w:rPr>
          <w:b/>
          <w:bCs/>
        </w:rPr>
        <w:t>parthenogenesis:</w:t>
      </w:r>
      <w:r>
        <w:t xml:space="preserve"> Any form of asexual reproduction through ova.</w:t>
      </w:r>
    </w:p>
    <w:p w14:paraId="6D13AF71" w14:textId="77777777" w:rsidR="00FD0189" w:rsidRDefault="00000000">
      <w:pPr>
        <w:pStyle w:val="BodyText"/>
      </w:pPr>
      <w:r>
        <w:rPr>
          <w:b/>
          <w:bCs/>
        </w:rPr>
        <w:t>recombination:</w:t>
      </w:r>
      <w:r>
        <w:t xml:space="preserve"> Genetic exchange between homologous chromosomes during meiosis, especially when the exchange leads to gametes with allele combinations not represented on the parental chromosomes.</w:t>
      </w:r>
    </w:p>
    <w:p w14:paraId="273E6602" w14:textId="77777777" w:rsidR="00FD0189" w:rsidRDefault="00000000">
      <w:pPr>
        <w:pStyle w:val="BodyText"/>
      </w:pPr>
      <w:r>
        <w:rPr>
          <w:b/>
          <w:bCs/>
        </w:rPr>
        <w:t>self-fertilization:</w:t>
      </w:r>
      <w:r>
        <w:t xml:space="preserve"> The fusion of gametes from the same individual.</w:t>
      </w:r>
    </w:p>
    <w:p w14:paraId="1FDC1A31" w14:textId="77777777" w:rsidR="00FD0189" w:rsidRDefault="00000000">
      <w:pPr>
        <w:pStyle w:val="BodyText"/>
      </w:pPr>
      <w:r>
        <w:rPr>
          <w:b/>
          <w:bCs/>
        </w:rPr>
        <w:t>sex/rec:</w:t>
      </w:r>
      <w:r>
        <w:t xml:space="preserve"> Shorthand for sexual reproduction and recombination.</w:t>
      </w:r>
    </w:p>
    <w:p w14:paraId="59E59DDE" w14:textId="77777777" w:rsidR="00FD0189" w:rsidRDefault="00000000">
      <w:pPr>
        <w:pStyle w:val="BodyText"/>
      </w:pPr>
      <w:r>
        <w:rPr>
          <w:b/>
          <w:bCs/>
        </w:rPr>
        <w:t>sexual reproduction:</w:t>
      </w:r>
      <w:r>
        <w:t xml:space="preserve"> I use the term here to mean cross-fertilization between unrelated individuals. However, the term is more general and can be used to mean the incorporation of novel genetic material by any mechanism.</w:t>
      </w:r>
    </w:p>
    <w:p w14:paraId="58E64635" w14:textId="77777777" w:rsidR="00FD0189" w:rsidRDefault="00000000">
      <w:pPr>
        <w:pStyle w:val="Heading1"/>
      </w:pPr>
      <w:bookmarkStart w:id="126" w:name="references"/>
      <w:bookmarkStart w:id="127" w:name="_Toc159248523"/>
      <w:bookmarkEnd w:id="124"/>
      <w:r>
        <w:lastRenderedPageBreak/>
        <w:t>References</w:t>
      </w:r>
      <w:bookmarkEnd w:id="127"/>
    </w:p>
    <w:p w14:paraId="15204310" w14:textId="77777777" w:rsidR="00FD0189" w:rsidRDefault="00000000">
      <w:pPr>
        <w:pStyle w:val="Bibliography"/>
      </w:pPr>
      <w:bookmarkStart w:id="128" w:name="ref-anderson1979a"/>
      <w:bookmarkStart w:id="129" w:name="refs"/>
      <w:r>
        <w:t xml:space="preserve">Anderson, R.M. &amp; May, R.M. (1979). Population biology of infectious diseases: Part 1. </w:t>
      </w:r>
      <w:r>
        <w:rPr>
          <w:i/>
          <w:iCs/>
        </w:rPr>
        <w:t>Nature</w:t>
      </w:r>
      <w:r>
        <w:t>, 280, 361–367.</w:t>
      </w:r>
    </w:p>
    <w:p w14:paraId="11B96E32" w14:textId="77777777" w:rsidR="00FD0189" w:rsidRDefault="00000000">
      <w:pPr>
        <w:pStyle w:val="Bibliography"/>
      </w:pPr>
      <w:bookmarkStart w:id="130" w:name="ref-antonovics1984a"/>
      <w:bookmarkEnd w:id="128"/>
      <w:r>
        <w:t xml:space="preserve">Antonovics, J. &amp; Ellstrand, N.C. (1984). Experimental studies of the evolutionary significance of sexual reproduction. I. A test of the frequency-dependent selection hypothesis. </w:t>
      </w:r>
      <w:r>
        <w:rPr>
          <w:i/>
          <w:iCs/>
        </w:rPr>
        <w:t>Evolution</w:t>
      </w:r>
      <w:r>
        <w:t>, 38, 103–115.</w:t>
      </w:r>
    </w:p>
    <w:p w14:paraId="11C51C2E" w14:textId="77777777" w:rsidR="00FD0189" w:rsidRDefault="00000000">
      <w:pPr>
        <w:pStyle w:val="Bibliography"/>
      </w:pPr>
      <w:bookmarkStart w:id="131" w:name="ref-bancroft1903a"/>
      <w:bookmarkEnd w:id="130"/>
      <w:r>
        <w:t xml:space="preserve">Bancroft, F.W. (1903). Variation and fusion of colonies in compound ascidians. </w:t>
      </w:r>
      <w:r>
        <w:rPr>
          <w:i/>
          <w:iCs/>
        </w:rPr>
        <w:t>Proceedings of the California Academy of Sciences</w:t>
      </w:r>
      <w:r>
        <w:t>, 3, 137–186.</w:t>
      </w:r>
    </w:p>
    <w:p w14:paraId="51D6C409" w14:textId="77777777" w:rsidR="00FD0189" w:rsidRDefault="00000000">
      <w:pPr>
        <w:pStyle w:val="Bibliography"/>
      </w:pPr>
      <w:bookmarkStart w:id="132" w:name="ref-bayley2009a"/>
      <w:bookmarkEnd w:id="131"/>
      <w:r>
        <w:t xml:space="preserve">Bayley, M. (2009). Alice’s adventures in algebra: Wonderland solved. </w:t>
      </w:r>
      <w:r>
        <w:rPr>
          <w:i/>
          <w:iCs/>
        </w:rPr>
        <w:t>New Scientist</w:t>
      </w:r>
      <w:r>
        <w:t>.</w:t>
      </w:r>
    </w:p>
    <w:p w14:paraId="372B775E" w14:textId="77777777" w:rsidR="00FD0189" w:rsidRDefault="00000000">
      <w:pPr>
        <w:pStyle w:val="Bibliography"/>
      </w:pPr>
      <w:bookmarkStart w:id="133" w:name="ref-bayley2010a"/>
      <w:bookmarkEnd w:id="132"/>
      <w:r>
        <w:t xml:space="preserve">Bayley, M. (2010). Algebra in wonderland. </w:t>
      </w:r>
      <w:r>
        <w:rPr>
          <w:i/>
          <w:iCs/>
        </w:rPr>
        <w:t>New York Times</w:t>
      </w:r>
      <w:r>
        <w:t>.</w:t>
      </w:r>
    </w:p>
    <w:p w14:paraId="198F32C8" w14:textId="77777777" w:rsidR="00FD0189" w:rsidRDefault="00000000">
      <w:pPr>
        <w:pStyle w:val="Bibliography"/>
      </w:pPr>
      <w:bookmarkStart w:id="134" w:name="ref-bell1982a"/>
      <w:bookmarkEnd w:id="133"/>
      <w:r>
        <w:t xml:space="preserve">Bell, G. (1982). </w:t>
      </w:r>
      <w:r>
        <w:rPr>
          <w:i/>
          <w:iCs/>
        </w:rPr>
        <w:t>The masterpiece of nature: The evolution and genetics of sexuality</w:t>
      </w:r>
      <w:r>
        <w:t>. University of California Press, Berkeley.</w:t>
      </w:r>
    </w:p>
    <w:p w14:paraId="259BF022" w14:textId="77777777" w:rsidR="00FD0189" w:rsidRDefault="00000000">
      <w:pPr>
        <w:pStyle w:val="Bibliography"/>
      </w:pPr>
      <w:bookmarkStart w:id="135" w:name="ref-bell2006a"/>
      <w:bookmarkEnd w:id="134"/>
      <w:r>
        <w:t xml:space="preserve">Bell, T., Freckleton, R.P. &amp; Lewis, O.T. (2006). </w:t>
      </w:r>
      <w:hyperlink r:id="rId70">
        <w:r>
          <w:rPr>
            <w:rStyle w:val="Hyperlink"/>
          </w:rPr>
          <w:t>Plant pathogens drive density-dependent seedling mortality in a tropical tree</w:t>
        </w:r>
      </w:hyperlink>
      <w:r>
        <w:t xml:space="preserve">. </w:t>
      </w:r>
      <w:r>
        <w:rPr>
          <w:i/>
          <w:iCs/>
        </w:rPr>
        <w:t>Ecology Letters</w:t>
      </w:r>
      <w:r>
        <w:t>, 9, 569–574.</w:t>
      </w:r>
    </w:p>
    <w:p w14:paraId="6A581B25" w14:textId="77777777" w:rsidR="00FD0189" w:rsidRDefault="00000000">
      <w:pPr>
        <w:pStyle w:val="Bibliography"/>
      </w:pPr>
      <w:bookmarkStart w:id="136" w:name="ref-bento2017a"/>
      <w:bookmarkEnd w:id="135"/>
      <w:r>
        <w:t xml:space="preserve">Bento, G., Routtu, J., Fields, P.D., Bourgeois, Y., Pasquier, L. &amp; Ebert, D. (2017). </w:t>
      </w:r>
      <w:hyperlink r:id="rId71">
        <w:r>
          <w:rPr>
            <w:rStyle w:val="Hyperlink"/>
          </w:rPr>
          <w:t xml:space="preserve">The genetic basis of resistance and matching-allele interactions of a host-parasite system: The </w:t>
        </w:r>
        <w:r>
          <w:rPr>
            <w:rStyle w:val="Hyperlink"/>
            <w:i/>
            <w:iCs/>
          </w:rPr>
          <w:t>Daphnia magna-Pasteuria ramosa</w:t>
        </w:r>
        <w:r>
          <w:rPr>
            <w:rStyle w:val="Hyperlink"/>
          </w:rPr>
          <w:t xml:space="preserve"> model</w:t>
        </w:r>
      </w:hyperlink>
      <w:r>
        <w:t xml:space="preserve">. </w:t>
      </w:r>
      <w:r>
        <w:rPr>
          <w:i/>
          <w:iCs/>
        </w:rPr>
        <w:t>PloS Genetics</w:t>
      </w:r>
      <w:r>
        <w:t>, 13.</w:t>
      </w:r>
    </w:p>
    <w:p w14:paraId="51164FA1" w14:textId="77777777" w:rsidR="00FD0189" w:rsidRDefault="00000000">
      <w:pPr>
        <w:pStyle w:val="Bibliography"/>
      </w:pPr>
      <w:bookmarkStart w:id="137" w:name="ref-blasco-costa2019a"/>
      <w:bookmarkEnd w:id="136"/>
      <w:r>
        <w:t xml:space="preserve">Blasco-Costa, I., Seppälä, K., Feijen, F., Zajac, N., Klappert, K. &amp; Jokela, J. (2019). </w:t>
      </w:r>
      <w:hyperlink r:id="rId72">
        <w:r>
          <w:rPr>
            <w:rStyle w:val="Hyperlink"/>
          </w:rPr>
          <w:t xml:space="preserve">A new species of </w:t>
        </w:r>
        <w:r>
          <w:rPr>
            <w:rStyle w:val="Hyperlink"/>
            <w:i/>
            <w:iCs/>
          </w:rPr>
          <w:t>Atriophallophorus</w:t>
        </w:r>
        <w:r>
          <w:rPr>
            <w:rStyle w:val="Hyperlink"/>
          </w:rPr>
          <w:t xml:space="preserve"> Deblock &amp; Rosé, 1964 (Trematoda: Microphallidae) described from </w:t>
        </w:r>
        <w:r>
          <w:rPr>
            <w:rStyle w:val="Hyperlink"/>
            <w:i/>
            <w:iCs/>
          </w:rPr>
          <w:t>in vitro</w:t>
        </w:r>
        <w:r>
          <w:rPr>
            <w:rStyle w:val="Hyperlink"/>
          </w:rPr>
          <w:t xml:space="preserve">-grown adults and metacercariae from </w:t>
        </w:r>
        <w:r>
          <w:rPr>
            <w:rStyle w:val="Hyperlink"/>
            <w:i/>
            <w:iCs/>
          </w:rPr>
          <w:t>Potamopyrgus antipodarum</w:t>
        </w:r>
        <w:r>
          <w:rPr>
            <w:rStyle w:val="Hyperlink"/>
          </w:rPr>
          <w:t xml:space="preserve"> (Gray, 1843) (Mollusca: Tateidae)</w:t>
        </w:r>
      </w:hyperlink>
      <w:r>
        <w:t xml:space="preserve">. </w:t>
      </w:r>
      <w:r>
        <w:rPr>
          <w:i/>
          <w:iCs/>
        </w:rPr>
        <w:t>Journal of Helminthology</w:t>
      </w:r>
      <w:r>
        <w:t>, 94, 1–15.</w:t>
      </w:r>
    </w:p>
    <w:p w14:paraId="5FF9B09F" w14:textId="77777777" w:rsidR="00FD0189" w:rsidRDefault="00000000">
      <w:pPr>
        <w:pStyle w:val="Bibliography"/>
      </w:pPr>
      <w:bookmarkStart w:id="138" w:name="ref-burnet1971a"/>
      <w:bookmarkEnd w:id="137"/>
      <w:r>
        <w:t xml:space="preserve">Burnet, F.M. (1971). "Self-recognition" in colonial marine forms and flowering plants in relation to the evolution of immunity. </w:t>
      </w:r>
      <w:r>
        <w:rPr>
          <w:i/>
          <w:iCs/>
        </w:rPr>
        <w:t>Nature</w:t>
      </w:r>
      <w:r>
        <w:t>, 232, 230–235.</w:t>
      </w:r>
    </w:p>
    <w:p w14:paraId="08F9BB80" w14:textId="77777777" w:rsidR="00FD0189" w:rsidRDefault="00000000">
      <w:pPr>
        <w:pStyle w:val="Bibliography"/>
      </w:pPr>
      <w:bookmarkStart w:id="139" w:name="ref-burt1987a"/>
      <w:bookmarkEnd w:id="138"/>
      <w:r>
        <w:t xml:space="preserve">Burt, A. &amp; Bell, G. (1987). Mammalian chiasma frequencies as a test of two theories of recombination. </w:t>
      </w:r>
      <w:r>
        <w:rPr>
          <w:i/>
          <w:iCs/>
        </w:rPr>
        <w:t>Nature</w:t>
      </w:r>
      <w:r>
        <w:t>, 326, 803–805.</w:t>
      </w:r>
    </w:p>
    <w:p w14:paraId="6F9ADB03" w14:textId="77777777" w:rsidR="00FD0189" w:rsidRDefault="00000000">
      <w:pPr>
        <w:pStyle w:val="Bibliography"/>
      </w:pPr>
      <w:bookmarkStart w:id="140" w:name="ref-buss1990a"/>
      <w:bookmarkEnd w:id="139"/>
      <w:r>
        <w:t xml:space="preserve">Buss, L. (1990). Competition within and between encrusting clonal invertebrates. </w:t>
      </w:r>
      <w:r>
        <w:rPr>
          <w:i/>
          <w:iCs/>
        </w:rPr>
        <w:t>Trends in Ecology &amp; Evolution</w:t>
      </w:r>
      <w:r>
        <w:t>, 5, 352–356.</w:t>
      </w:r>
    </w:p>
    <w:p w14:paraId="22D1072A" w14:textId="77777777" w:rsidR="00FD0189" w:rsidRDefault="00000000">
      <w:pPr>
        <w:pStyle w:val="Bibliography"/>
      </w:pPr>
      <w:bookmarkStart w:id="141" w:name="ref-carroll1872a"/>
      <w:bookmarkEnd w:id="140"/>
      <w:r>
        <w:t xml:space="preserve">Carroll, L. (1872). </w:t>
      </w:r>
      <w:r>
        <w:rPr>
          <w:i/>
          <w:iCs/>
        </w:rPr>
        <w:t>Through the looking glass and what Alice found there</w:t>
      </w:r>
      <w:r>
        <w:t>. Macmillan, London.</w:t>
      </w:r>
    </w:p>
    <w:p w14:paraId="480CA083" w14:textId="77777777" w:rsidR="00FD0189" w:rsidRDefault="00000000">
      <w:pPr>
        <w:pStyle w:val="Bibliography"/>
      </w:pPr>
      <w:bookmarkStart w:id="142" w:name="ref-chamberlin1890a"/>
      <w:bookmarkEnd w:id="141"/>
      <w:r>
        <w:t xml:space="preserve">Chamberlin, T.C. (1890). The method of multiple working hypotheses. </w:t>
      </w:r>
      <w:r>
        <w:rPr>
          <w:i/>
          <w:iCs/>
        </w:rPr>
        <w:t>Science</w:t>
      </w:r>
      <w:r>
        <w:t>, 15, 92–96.</w:t>
      </w:r>
    </w:p>
    <w:p w14:paraId="27769BA8" w14:textId="77777777" w:rsidR="00FD0189" w:rsidRDefault="00000000">
      <w:pPr>
        <w:pStyle w:val="Bibliography"/>
      </w:pPr>
      <w:bookmarkStart w:id="143" w:name="ref-churchill1979a"/>
      <w:bookmarkEnd w:id="142"/>
      <w:r>
        <w:t xml:space="preserve">Churchill, F.B. (1979). Sex and the single organism: biological theories of sex in mid nineteenth century. </w:t>
      </w:r>
      <w:r>
        <w:rPr>
          <w:i/>
          <w:iCs/>
        </w:rPr>
        <w:t>Studies in the History of Biology</w:t>
      </w:r>
      <w:r>
        <w:t>, 3, 139–177.</w:t>
      </w:r>
    </w:p>
    <w:p w14:paraId="0C3E3C40" w14:textId="77777777" w:rsidR="00FD0189" w:rsidRDefault="00000000">
      <w:pPr>
        <w:pStyle w:val="Bibliography"/>
      </w:pPr>
      <w:bookmarkStart w:id="144" w:name="ref-churchill1997a"/>
      <w:bookmarkEnd w:id="143"/>
      <w:r>
        <w:t xml:space="preserve">Churchill, F.B. (1997). Life before model systems: General zoology at August Weismann’s institute. </w:t>
      </w:r>
      <w:r>
        <w:rPr>
          <w:i/>
          <w:iCs/>
        </w:rPr>
        <w:t>American Zoologist</w:t>
      </w:r>
      <w:r>
        <w:t>, 37, 260–268.</w:t>
      </w:r>
    </w:p>
    <w:p w14:paraId="4A9A09EA" w14:textId="77777777" w:rsidR="00FD0189" w:rsidRDefault="00000000">
      <w:pPr>
        <w:pStyle w:val="Bibliography"/>
      </w:pPr>
      <w:bookmarkStart w:id="145" w:name="ref-clark1976a"/>
      <w:bookmarkEnd w:id="144"/>
      <w:r>
        <w:lastRenderedPageBreak/>
        <w:t xml:space="preserve">Clark, W.C. (1976). The environment and the genotype in polymorphism. </w:t>
      </w:r>
      <w:r>
        <w:rPr>
          <w:i/>
          <w:iCs/>
        </w:rPr>
        <w:t>Zoological Journal of the Linnean Society</w:t>
      </w:r>
      <w:r>
        <w:t>, 58, 255–262.</w:t>
      </w:r>
    </w:p>
    <w:p w14:paraId="127B255C" w14:textId="77777777" w:rsidR="00FD0189" w:rsidRDefault="00000000">
      <w:pPr>
        <w:pStyle w:val="Bibliography"/>
      </w:pPr>
      <w:bookmarkStart w:id="146" w:name="ref-cohen1966a"/>
      <w:bookmarkEnd w:id="145"/>
      <w:r>
        <w:t xml:space="preserve">Cohen, D. (1966). Optimizing reproduction in a randomly varying environment. </w:t>
      </w:r>
      <w:r>
        <w:rPr>
          <w:i/>
          <w:iCs/>
        </w:rPr>
        <w:t>Journal of Theoretical Biology</w:t>
      </w:r>
      <w:r>
        <w:t>, 12, 119–129.</w:t>
      </w:r>
    </w:p>
    <w:p w14:paraId="1954FB9D" w14:textId="77777777" w:rsidR="00FD0189" w:rsidRDefault="00000000">
      <w:pPr>
        <w:pStyle w:val="Bibliography"/>
      </w:pPr>
      <w:bookmarkStart w:id="147" w:name="ref-dagg2016a"/>
      <w:bookmarkEnd w:id="146"/>
      <w:r>
        <w:t xml:space="preserve">Dagg, J. (2016). </w:t>
      </w:r>
      <w:hyperlink r:id="rId73">
        <w:r>
          <w:rPr>
            <w:rStyle w:val="Hyperlink"/>
          </w:rPr>
          <w:t xml:space="preserve">On </w:t>
        </w:r>
        <w:proofErr w:type="spellStart"/>
        <w:r>
          <w:rPr>
            <w:rStyle w:val="Hyperlink"/>
          </w:rPr>
          <w:t>recognising</w:t>
        </w:r>
        <w:proofErr w:type="spellEnd"/>
        <w:r>
          <w:rPr>
            <w:rStyle w:val="Hyperlink"/>
          </w:rPr>
          <w:t xml:space="preserve"> the paradox of sex</w:t>
        </w:r>
      </w:hyperlink>
      <w:r>
        <w:t xml:space="preserve">. </w:t>
      </w:r>
      <w:r>
        <w:rPr>
          <w:i/>
          <w:iCs/>
        </w:rPr>
        <w:t>Philosophy, Theory, and Practice in Biology</w:t>
      </w:r>
      <w:r>
        <w:t>, 8.</w:t>
      </w:r>
    </w:p>
    <w:p w14:paraId="6C456A8F" w14:textId="77777777" w:rsidR="00FD0189" w:rsidRDefault="00000000">
      <w:pPr>
        <w:pStyle w:val="Bibliography"/>
      </w:pPr>
      <w:bookmarkStart w:id="148" w:name="ref-darlington1939a"/>
      <w:bookmarkEnd w:id="147"/>
      <w:r>
        <w:t xml:space="preserve">Darlington, C.D. (1939). </w:t>
      </w:r>
      <w:r>
        <w:rPr>
          <w:i/>
          <w:iCs/>
        </w:rPr>
        <w:t>The evolution of genetic systems</w:t>
      </w:r>
      <w:r>
        <w:t>. Cambridge University Press, Cambridge.</w:t>
      </w:r>
    </w:p>
    <w:p w14:paraId="3E15D674" w14:textId="77777777" w:rsidR="00FD0189" w:rsidRDefault="00000000">
      <w:pPr>
        <w:pStyle w:val="Bibliography"/>
      </w:pPr>
      <w:bookmarkStart w:id="149" w:name="ref-darwin1859a"/>
      <w:bookmarkEnd w:id="148"/>
      <w:r>
        <w:t xml:space="preserve">Darwin, C. (1859). </w:t>
      </w:r>
      <w:r>
        <w:rPr>
          <w:i/>
          <w:iCs/>
        </w:rPr>
        <w:t>On the origin of species by means of natural selection, or preservation of favoured races in the struggle for life</w:t>
      </w:r>
      <w:r>
        <w:t>. Murray, London.</w:t>
      </w:r>
    </w:p>
    <w:p w14:paraId="66D0E632" w14:textId="77777777" w:rsidR="00FD0189" w:rsidRDefault="00000000">
      <w:pPr>
        <w:pStyle w:val="Bibliography"/>
      </w:pPr>
      <w:bookmarkStart w:id="150" w:name="ref-darwin1862a"/>
      <w:bookmarkEnd w:id="149"/>
      <w:r>
        <w:t xml:space="preserve">Darwin, C. (1862). </w:t>
      </w:r>
      <w:hyperlink r:id="rId74">
        <w:r>
          <w:rPr>
            <w:rStyle w:val="Hyperlink"/>
          </w:rPr>
          <w:t xml:space="preserve">On the two forms, or dimorphic condition, in the species of </w:t>
        </w:r>
        <w:r>
          <w:rPr>
            <w:rStyle w:val="Hyperlink"/>
            <w:i/>
            <w:iCs/>
          </w:rPr>
          <w:t>Primula</w:t>
        </w:r>
        <w:r>
          <w:rPr>
            <w:rStyle w:val="Hyperlink"/>
          </w:rPr>
          <w:t>, and on their remarkable sexual relations.</w:t>
        </w:r>
      </w:hyperlink>
      <w:r>
        <w:t xml:space="preserve"> </w:t>
      </w:r>
      <w:r>
        <w:rPr>
          <w:i/>
          <w:iCs/>
        </w:rPr>
        <w:t>Journal of the Proceedings of the Linnean Society of London (Botany)</w:t>
      </w:r>
      <w:r>
        <w:t>, 6, 77–96.</w:t>
      </w:r>
    </w:p>
    <w:p w14:paraId="771C05FF" w14:textId="77777777" w:rsidR="00FD0189" w:rsidRDefault="00000000">
      <w:pPr>
        <w:pStyle w:val="Bibliography"/>
      </w:pPr>
      <w:bookmarkStart w:id="151" w:name="ref-darwin1868a"/>
      <w:bookmarkEnd w:id="150"/>
      <w:r>
        <w:t xml:space="preserve">Darwin, C. (1868). </w:t>
      </w:r>
      <w:r>
        <w:rPr>
          <w:i/>
          <w:iCs/>
        </w:rPr>
        <w:t>The variation of plants and animals under domestication</w:t>
      </w:r>
      <w:r>
        <w:t>. 1st edn. John Murray, London.</w:t>
      </w:r>
    </w:p>
    <w:p w14:paraId="091EEED1" w14:textId="77777777" w:rsidR="00FD0189" w:rsidRDefault="00000000">
      <w:pPr>
        <w:pStyle w:val="Bibliography"/>
      </w:pPr>
      <w:bookmarkStart w:id="152" w:name="ref-darwin1860a"/>
      <w:bookmarkEnd w:id="151"/>
      <w:r>
        <w:t xml:space="preserve">Darwin, C. (n.d.). </w:t>
      </w:r>
      <w:hyperlink r:id="rId75">
        <w:r>
          <w:rPr>
            <w:rStyle w:val="Hyperlink"/>
          </w:rPr>
          <w:t>Letter no. 2869</w:t>
        </w:r>
      </w:hyperlink>
      <w:r>
        <w:t>. Darwin Correspondence Project.</w:t>
      </w:r>
    </w:p>
    <w:p w14:paraId="02BC800D" w14:textId="77777777" w:rsidR="00FD0189" w:rsidRDefault="00000000">
      <w:pPr>
        <w:pStyle w:val="Bibliography"/>
      </w:pPr>
      <w:bookmarkStart w:id="153" w:name="ref-dexter2023a"/>
      <w:bookmarkEnd w:id="152"/>
      <w:r>
        <w:t xml:space="preserve">Dexter, E., Fields, P.D. &amp; Ebert, D. (2023). </w:t>
      </w:r>
      <w:hyperlink r:id="rId76">
        <w:r>
          <w:rPr>
            <w:rStyle w:val="Hyperlink"/>
          </w:rPr>
          <w:t>Uncovering the genomic basis of infection through co-genomic sequencing of hosts and parasites</w:t>
        </w:r>
      </w:hyperlink>
      <w:r>
        <w:t xml:space="preserve">. </w:t>
      </w:r>
      <w:r>
        <w:rPr>
          <w:i/>
          <w:iCs/>
        </w:rPr>
        <w:t>Molecular Biology and Evolution</w:t>
      </w:r>
      <w:r>
        <w:t>, 40, msad145.</w:t>
      </w:r>
    </w:p>
    <w:p w14:paraId="14892813" w14:textId="77777777" w:rsidR="00FD0189" w:rsidRDefault="00000000">
      <w:pPr>
        <w:pStyle w:val="Bibliography"/>
      </w:pPr>
      <w:bookmarkStart w:id="154" w:name="ref-ebert1994a"/>
      <w:bookmarkEnd w:id="153"/>
      <w:r>
        <w:t xml:space="preserve">Ebert, D. (1994). Virulence and local adaptation of a horizontally transmitted parasite. </w:t>
      </w:r>
      <w:r>
        <w:rPr>
          <w:i/>
          <w:iCs/>
        </w:rPr>
        <w:t>Science</w:t>
      </w:r>
      <w:r>
        <w:t>, 265, 1084–1086.</w:t>
      </w:r>
    </w:p>
    <w:p w14:paraId="6CD320F7" w14:textId="77777777" w:rsidR="00FD0189" w:rsidRDefault="00000000">
      <w:pPr>
        <w:pStyle w:val="Bibliography"/>
      </w:pPr>
      <w:bookmarkStart w:id="155" w:name="ref-elliott2007a"/>
      <w:bookmarkEnd w:id="154"/>
      <w:r>
        <w:t xml:space="preserve">Elliott, L.P. &amp; Brook, B.W. (2007). Revisiting Chamberlin: Multiple working hypotheses for the 21st century. </w:t>
      </w:r>
      <w:r>
        <w:rPr>
          <w:i/>
          <w:iCs/>
        </w:rPr>
        <w:t>Bioscience</w:t>
      </w:r>
      <w:r>
        <w:t>, 57, 608–614.</w:t>
      </w:r>
    </w:p>
    <w:p w14:paraId="7AA4A02F" w14:textId="77777777" w:rsidR="00FD0189" w:rsidRDefault="00000000">
      <w:pPr>
        <w:pStyle w:val="Bibliography"/>
      </w:pPr>
      <w:bookmarkStart w:id="156" w:name="ref-ellstrand1985a"/>
      <w:bookmarkEnd w:id="155"/>
      <w:r>
        <w:t xml:space="preserve">Ellstrand, N.C. &amp; Antonovics, J. (1985). Experimental studies of the evolutionary significance of sexual reproduction II. A test of the density-dependent selection hypothesis. </w:t>
      </w:r>
      <w:r>
        <w:rPr>
          <w:i/>
          <w:iCs/>
        </w:rPr>
        <w:t>Evolution</w:t>
      </w:r>
      <w:r>
        <w:t>, 39, 657–666.</w:t>
      </w:r>
    </w:p>
    <w:p w14:paraId="18A2200A" w14:textId="77777777" w:rsidR="00FD0189" w:rsidRDefault="00000000">
      <w:pPr>
        <w:pStyle w:val="Bibliography"/>
      </w:pPr>
      <w:bookmarkStart w:id="157" w:name="ref-felsenstein1974a"/>
      <w:bookmarkEnd w:id="156"/>
      <w:r>
        <w:t xml:space="preserve">Felsenstein, J. (1974). The evolutionary advantage of recombination. </w:t>
      </w:r>
      <w:r>
        <w:rPr>
          <w:i/>
          <w:iCs/>
        </w:rPr>
        <w:t>Genetics</w:t>
      </w:r>
      <w:r>
        <w:t>, 78, 737–756.</w:t>
      </w:r>
    </w:p>
    <w:p w14:paraId="1EB3E7F1" w14:textId="77777777" w:rsidR="00FD0189" w:rsidRDefault="00000000">
      <w:pPr>
        <w:pStyle w:val="Bibliography"/>
      </w:pPr>
      <w:bookmarkStart w:id="158" w:name="ref-fisher1930a"/>
      <w:bookmarkEnd w:id="157"/>
      <w:r>
        <w:t xml:space="preserve">Fisher, R.A. (1930). </w:t>
      </w:r>
      <w:r>
        <w:rPr>
          <w:i/>
          <w:iCs/>
        </w:rPr>
        <w:t>The genetical theory of natural selection</w:t>
      </w:r>
      <w:r>
        <w:t>. Oxford University Press, Oxford.</w:t>
      </w:r>
    </w:p>
    <w:p w14:paraId="76D5C6E3" w14:textId="77777777" w:rsidR="00FD0189" w:rsidRDefault="00000000">
      <w:pPr>
        <w:pStyle w:val="Bibliography"/>
      </w:pPr>
      <w:bookmarkStart w:id="159" w:name="ref-fisher1941a"/>
      <w:bookmarkEnd w:id="158"/>
      <w:r>
        <w:t xml:space="preserve">Fisher, R.A. (1941). Average excess and average effect of a gene substitution. </w:t>
      </w:r>
      <w:r>
        <w:rPr>
          <w:i/>
          <w:iCs/>
        </w:rPr>
        <w:t>Annals of Eugenics</w:t>
      </w:r>
      <w:r>
        <w:t>, 11, 53–63.</w:t>
      </w:r>
    </w:p>
    <w:p w14:paraId="023BF777" w14:textId="77777777" w:rsidR="00FD0189" w:rsidRDefault="00000000">
      <w:pPr>
        <w:pStyle w:val="Bibliography"/>
      </w:pPr>
      <w:bookmarkStart w:id="160" w:name="ref-gaino1999a"/>
      <w:bookmarkEnd w:id="159"/>
      <w:r>
        <w:t xml:space="preserve">Gaino, E., Bavestrello, G. &amp; Magnino, G. (1999). </w:t>
      </w:r>
      <w:hyperlink r:id="rId77">
        <w:r>
          <w:rPr>
            <w:rStyle w:val="Hyperlink"/>
          </w:rPr>
          <w:t>Self/non‐</w:t>
        </w:r>
        <w:proofErr w:type="spellStart"/>
        <w:r>
          <w:rPr>
            <w:rStyle w:val="Hyperlink"/>
          </w:rPr>
          <w:t>self recognition</w:t>
        </w:r>
        <w:proofErr w:type="spellEnd"/>
        <w:r>
          <w:rPr>
            <w:rStyle w:val="Hyperlink"/>
          </w:rPr>
          <w:t xml:space="preserve"> in sponges</w:t>
        </w:r>
      </w:hyperlink>
      <w:r>
        <w:t xml:space="preserve">. </w:t>
      </w:r>
      <w:r>
        <w:rPr>
          <w:i/>
          <w:iCs/>
        </w:rPr>
        <w:t>Italian Journal of Zoology</w:t>
      </w:r>
      <w:r>
        <w:t>, 66, 299–315.</w:t>
      </w:r>
    </w:p>
    <w:p w14:paraId="51915397" w14:textId="77777777" w:rsidR="00FD0189" w:rsidRDefault="00000000">
      <w:pPr>
        <w:pStyle w:val="Bibliography"/>
      </w:pPr>
      <w:bookmarkStart w:id="161" w:name="ref-galvani2003a"/>
      <w:bookmarkEnd w:id="160"/>
      <w:r>
        <w:t xml:space="preserve">Galvani, A.P., Coleman, R.M. &amp; Ferguson, N.M. (2003). </w:t>
      </w:r>
      <w:hyperlink r:id="rId78">
        <w:r>
          <w:rPr>
            <w:rStyle w:val="Hyperlink"/>
          </w:rPr>
          <w:t>The maintenance of sex in parasites</w:t>
        </w:r>
      </w:hyperlink>
      <w:r>
        <w:t xml:space="preserve">. </w:t>
      </w:r>
      <w:r>
        <w:rPr>
          <w:i/>
          <w:iCs/>
        </w:rPr>
        <w:t>Proceedings of the Royal Society of London. Series B: Biological Sciences</w:t>
      </w:r>
      <w:r>
        <w:t>, 270, 19–28.</w:t>
      </w:r>
    </w:p>
    <w:p w14:paraId="4F40AD03" w14:textId="77777777" w:rsidR="00FD0189" w:rsidRDefault="00000000">
      <w:pPr>
        <w:pStyle w:val="Bibliography"/>
      </w:pPr>
      <w:bookmarkStart w:id="162" w:name="ref-gandon2002a"/>
      <w:bookmarkEnd w:id="161"/>
      <w:r>
        <w:lastRenderedPageBreak/>
        <w:t xml:space="preserve">Gandon, S. &amp; Michalakis, Y. (2002). Local adaptation, evolutionary potential and host-parasite coevolution: Interactions between migration, mutation, population size and generation time. </w:t>
      </w:r>
      <w:r>
        <w:rPr>
          <w:i/>
          <w:iCs/>
        </w:rPr>
        <w:t>Journal of Evolutionary Biology</w:t>
      </w:r>
      <w:r>
        <w:t>, 15, 451–462.</w:t>
      </w:r>
    </w:p>
    <w:p w14:paraId="7F3A1ECF" w14:textId="77777777" w:rsidR="00FD0189" w:rsidRDefault="00000000">
      <w:pPr>
        <w:pStyle w:val="Bibliography"/>
      </w:pPr>
      <w:bookmarkStart w:id="163" w:name="ref-gerritsen1980a"/>
      <w:bookmarkEnd w:id="162"/>
      <w:r>
        <w:t xml:space="preserve">Gerritsen, J. (1980). Sex and parthenogenesis in sparse populations. </w:t>
      </w:r>
      <w:r>
        <w:rPr>
          <w:i/>
          <w:iCs/>
        </w:rPr>
        <w:t>American Naturalist</w:t>
      </w:r>
      <w:r>
        <w:t>, 115, 718–742.</w:t>
      </w:r>
    </w:p>
    <w:p w14:paraId="73BCD96A" w14:textId="77777777" w:rsidR="00FD0189" w:rsidRDefault="00000000">
      <w:pPr>
        <w:pStyle w:val="Bibliography"/>
      </w:pPr>
      <w:bookmarkStart w:id="164" w:name="ref-ghiselin1974a"/>
      <w:bookmarkEnd w:id="163"/>
      <w:r>
        <w:t xml:space="preserve">Ghiselin, M.T. (1974). </w:t>
      </w:r>
      <w:r>
        <w:rPr>
          <w:i/>
          <w:iCs/>
        </w:rPr>
        <w:t>The economy of nature and the evolution of sex</w:t>
      </w:r>
      <w:r>
        <w:t>. University of California Press, Berkeley.</w:t>
      </w:r>
    </w:p>
    <w:p w14:paraId="2EEDBF34" w14:textId="77777777" w:rsidR="00FD0189" w:rsidRDefault="00000000">
      <w:pPr>
        <w:pStyle w:val="Bibliography"/>
      </w:pPr>
      <w:bookmarkStart w:id="165" w:name="ref-gibson2015a"/>
      <w:bookmarkEnd w:id="164"/>
      <w:r>
        <w:t xml:space="preserve">Gibson, A.K. &amp; Fuentes, J.A. (2015). A phylogenetic test of the red queen hypothesis: Outcrossing and parasitism in the nematode phylum. </w:t>
      </w:r>
      <w:r>
        <w:rPr>
          <w:i/>
          <w:iCs/>
        </w:rPr>
        <w:t>Evolution</w:t>
      </w:r>
      <w:r>
        <w:t>, 69, 530–540.</w:t>
      </w:r>
    </w:p>
    <w:p w14:paraId="71CD05EE" w14:textId="77777777" w:rsidR="00FD0189" w:rsidRDefault="00000000">
      <w:pPr>
        <w:pStyle w:val="Bibliography"/>
      </w:pPr>
      <w:bookmarkStart w:id="166" w:name="ref-gibson2016a"/>
      <w:bookmarkEnd w:id="165"/>
      <w:r>
        <w:t xml:space="preserve">Gibson, A.K., Jokela, J. &amp; Lively, C.M. (2016). Fine-scale spatial covariation between infection prevalence and susceptibility in a natural population. </w:t>
      </w:r>
      <w:r>
        <w:rPr>
          <w:i/>
          <w:iCs/>
        </w:rPr>
        <w:t>American Naturalist</w:t>
      </w:r>
      <w:r>
        <w:t>, 188, 1–14.</w:t>
      </w:r>
    </w:p>
    <w:p w14:paraId="616965B5" w14:textId="77777777" w:rsidR="00FD0189" w:rsidRDefault="00000000">
      <w:pPr>
        <w:pStyle w:val="Bibliography"/>
      </w:pPr>
      <w:bookmarkStart w:id="167" w:name="ref-glesener1978a"/>
      <w:bookmarkEnd w:id="166"/>
      <w:r>
        <w:t xml:space="preserve">Glesener, R.R. &amp; Tilman, D. (1978). Sexuality and the components of environmental uncertainty: Clues from geographical parthenogenesis in terrestrial animals. </w:t>
      </w:r>
      <w:r>
        <w:rPr>
          <w:i/>
          <w:iCs/>
        </w:rPr>
        <w:t>American Naturalist</w:t>
      </w:r>
      <w:r>
        <w:t>, 112, 659–673.</w:t>
      </w:r>
    </w:p>
    <w:p w14:paraId="236FC079" w14:textId="77777777" w:rsidR="00FD0189" w:rsidRDefault="00000000">
      <w:pPr>
        <w:pStyle w:val="Bibliography"/>
      </w:pPr>
      <w:bookmarkStart w:id="168" w:name="ref-gould1991a"/>
      <w:bookmarkEnd w:id="167"/>
      <w:r>
        <w:t xml:space="preserve">Gould, S.J. (1991). The smoking gun of eugenics. </w:t>
      </w:r>
      <w:r>
        <w:rPr>
          <w:i/>
          <w:iCs/>
        </w:rPr>
        <w:t>Natural History</w:t>
      </w:r>
      <w:r>
        <w:t>, 100, 8–17.</w:t>
      </w:r>
    </w:p>
    <w:p w14:paraId="1137B521" w14:textId="77777777" w:rsidR="00FD0189" w:rsidRDefault="00000000">
      <w:pPr>
        <w:pStyle w:val="Bibliography"/>
      </w:pPr>
      <w:bookmarkStart w:id="169" w:name="ref-haigh1978a"/>
      <w:bookmarkEnd w:id="168"/>
      <w:r>
        <w:t xml:space="preserve">Haigh, J. (1978). The accumulation of deleterious genes in a population–Muller’s ratchet. </w:t>
      </w:r>
      <w:r>
        <w:rPr>
          <w:i/>
          <w:iCs/>
        </w:rPr>
        <w:t>Theoretical Population Biology</w:t>
      </w:r>
      <w:r>
        <w:t>, 14, 251–267.</w:t>
      </w:r>
    </w:p>
    <w:p w14:paraId="212C7E4B" w14:textId="77777777" w:rsidR="00FD0189" w:rsidRDefault="00000000">
      <w:pPr>
        <w:pStyle w:val="Bibliography"/>
      </w:pPr>
      <w:bookmarkStart w:id="170" w:name="ref-hamilton1975b"/>
      <w:bookmarkEnd w:id="169"/>
      <w:r>
        <w:t xml:space="preserve">Hamilton, W.D. (1975a). </w:t>
      </w:r>
      <w:hyperlink r:id="rId79">
        <w:r>
          <w:rPr>
            <w:rStyle w:val="Hyperlink"/>
          </w:rPr>
          <w:t>Gamblers since life began: Barnacles, aphids, elms (a review)</w:t>
        </w:r>
      </w:hyperlink>
      <w:r>
        <w:t xml:space="preserve">. </w:t>
      </w:r>
      <w:r>
        <w:rPr>
          <w:i/>
          <w:iCs/>
        </w:rPr>
        <w:t>The Quarterly Review of Biology</w:t>
      </w:r>
      <w:r>
        <w:t>, 50, 175–180.</w:t>
      </w:r>
    </w:p>
    <w:p w14:paraId="42F5CBC7" w14:textId="77777777" w:rsidR="00FD0189" w:rsidRDefault="00000000">
      <w:pPr>
        <w:pStyle w:val="Bibliography"/>
      </w:pPr>
      <w:bookmarkStart w:id="171" w:name="ref-hamilton1975a"/>
      <w:bookmarkEnd w:id="170"/>
      <w:r>
        <w:t xml:space="preserve">Hamilton, W.D. (1975b). Innate social aptitudes of man: An approach from evolutionary genetics. In: </w:t>
      </w:r>
      <w:r>
        <w:rPr>
          <w:i/>
          <w:iCs/>
        </w:rPr>
        <w:t>Biosocial anthropology</w:t>
      </w:r>
      <w:r>
        <w:t xml:space="preserve"> (ed. Fox, R.). Malaby Press, London, pp. 133–153.</w:t>
      </w:r>
    </w:p>
    <w:p w14:paraId="6A976489" w14:textId="77777777" w:rsidR="00FD0189" w:rsidRDefault="00000000">
      <w:pPr>
        <w:pStyle w:val="Bibliography"/>
      </w:pPr>
      <w:bookmarkStart w:id="172" w:name="ref-hamilton1980a"/>
      <w:bookmarkEnd w:id="171"/>
      <w:r>
        <w:t xml:space="preserve">Hamilton, W.D. (1980). Sex versus non-sex versus parasite. </w:t>
      </w:r>
      <w:r>
        <w:rPr>
          <w:i/>
          <w:iCs/>
        </w:rPr>
        <w:t>Oikos</w:t>
      </w:r>
      <w:r>
        <w:t>, 35, 282–290.</w:t>
      </w:r>
    </w:p>
    <w:p w14:paraId="4CF8D467" w14:textId="77777777" w:rsidR="00FD0189" w:rsidRDefault="00000000">
      <w:pPr>
        <w:pStyle w:val="Bibliography"/>
      </w:pPr>
      <w:bookmarkStart w:id="173" w:name="ref-hamilton2001a"/>
      <w:bookmarkEnd w:id="172"/>
      <w:r>
        <w:t xml:space="preserve">Hamilton, W.D. (2001). </w:t>
      </w:r>
      <w:r>
        <w:rPr>
          <w:i/>
          <w:iCs/>
        </w:rPr>
        <w:t>Narrow roads of gene land: Volume 2: Evolution of sex</w:t>
      </w:r>
      <w:r>
        <w:t>. Oxford University Press.</w:t>
      </w:r>
    </w:p>
    <w:p w14:paraId="00F95E32" w14:textId="77777777" w:rsidR="00FD0189" w:rsidRDefault="00000000">
      <w:pPr>
        <w:pStyle w:val="Bibliography"/>
      </w:pPr>
      <w:bookmarkStart w:id="174" w:name="ref-hamilton1982a"/>
      <w:bookmarkEnd w:id="173"/>
      <w:r>
        <w:t xml:space="preserve">Hamilton, W.D. &amp; Zuk, M. (1982). Heritable true fitness and bright birds: A role for parasites? </w:t>
      </w:r>
      <w:r>
        <w:rPr>
          <w:i/>
          <w:iCs/>
        </w:rPr>
        <w:t>Science</w:t>
      </w:r>
      <w:r>
        <w:t>, 218, 384–387.</w:t>
      </w:r>
    </w:p>
    <w:p w14:paraId="799F516B" w14:textId="77777777" w:rsidR="00FD0189" w:rsidRDefault="00000000">
      <w:pPr>
        <w:pStyle w:val="Bibliography"/>
      </w:pPr>
      <w:bookmarkStart w:id="175" w:name="ref-hazel2004a"/>
      <w:bookmarkEnd w:id="174"/>
      <w:r>
        <w:t xml:space="preserve">Hazel, W., Smock, R. &amp; Lively, C.M. (2004). The ecological genetics of conditional strategies. </w:t>
      </w:r>
      <w:r>
        <w:rPr>
          <w:i/>
          <w:iCs/>
        </w:rPr>
        <w:t>American Naturalist</w:t>
      </w:r>
      <w:r>
        <w:t>, 163, 888–900.</w:t>
      </w:r>
    </w:p>
    <w:p w14:paraId="70036AFC" w14:textId="77777777" w:rsidR="00FD0189" w:rsidRDefault="00000000">
      <w:pPr>
        <w:pStyle w:val="Bibliography"/>
      </w:pPr>
      <w:bookmarkStart w:id="176" w:name="ref-hill1966a"/>
      <w:bookmarkEnd w:id="175"/>
      <w:r>
        <w:t xml:space="preserve">Hill, W.G. &amp; Robertson, A. (1966). The effect of linkage on limits to artificial selection. </w:t>
      </w:r>
      <w:r>
        <w:rPr>
          <w:i/>
          <w:iCs/>
        </w:rPr>
        <w:t>Genetics Research</w:t>
      </w:r>
      <w:r>
        <w:t>, 8, 269–294.</w:t>
      </w:r>
    </w:p>
    <w:p w14:paraId="4E2C2754" w14:textId="77777777" w:rsidR="00FD0189" w:rsidRDefault="00000000">
      <w:pPr>
        <w:pStyle w:val="Bibliography"/>
      </w:pPr>
      <w:bookmarkStart w:id="177" w:name="ref-howard1994b"/>
      <w:bookmarkEnd w:id="176"/>
      <w:r>
        <w:t xml:space="preserve">Howard, R.S. &amp; Lively, C.M. (1994a). Erratum: Parasitism, mutation accumulation and the maintenance of sex. </w:t>
      </w:r>
      <w:r>
        <w:rPr>
          <w:i/>
          <w:iCs/>
        </w:rPr>
        <w:t>Nature</w:t>
      </w:r>
      <w:r>
        <w:t>, 368, 358.</w:t>
      </w:r>
    </w:p>
    <w:p w14:paraId="0EED9D02" w14:textId="77777777" w:rsidR="00FD0189" w:rsidRDefault="00000000">
      <w:pPr>
        <w:pStyle w:val="Bibliography"/>
      </w:pPr>
      <w:bookmarkStart w:id="178" w:name="ref-howard1994a"/>
      <w:bookmarkEnd w:id="177"/>
      <w:r>
        <w:lastRenderedPageBreak/>
        <w:t xml:space="preserve">Howard, R.S. &amp; Lively, C.M. (1994b). Parasitism, mutation accumulation and the maintenance of sex. </w:t>
      </w:r>
      <w:r>
        <w:rPr>
          <w:i/>
          <w:iCs/>
        </w:rPr>
        <w:t>Nature</w:t>
      </w:r>
      <w:r>
        <w:t>, 367, 554–557.</w:t>
      </w:r>
    </w:p>
    <w:p w14:paraId="4CAD00E3" w14:textId="77777777" w:rsidR="00FD0189" w:rsidRDefault="00000000">
      <w:pPr>
        <w:pStyle w:val="Bibliography"/>
      </w:pPr>
      <w:bookmarkStart w:id="179" w:name="ref-howard1998a"/>
      <w:bookmarkEnd w:id="178"/>
      <w:r>
        <w:t xml:space="preserve">Howard, R.S. &amp; Lively, C.M. (1998). The maintenance of sex by parasitism and mutation accumulation under epistatic fitness functions. </w:t>
      </w:r>
      <w:r>
        <w:rPr>
          <w:i/>
          <w:iCs/>
        </w:rPr>
        <w:t>Evolution</w:t>
      </w:r>
      <w:r>
        <w:t>, 52, 604–610.</w:t>
      </w:r>
    </w:p>
    <w:p w14:paraId="2407CFEB" w14:textId="77777777" w:rsidR="00FD0189" w:rsidRDefault="00000000">
      <w:pPr>
        <w:pStyle w:val="Bibliography"/>
      </w:pPr>
      <w:bookmarkStart w:id="180" w:name="ref-howard2002a"/>
      <w:bookmarkEnd w:id="179"/>
      <w:r>
        <w:t xml:space="preserve">Howard, R.S. &amp; Lively, C.M. (2002). The ratchet and the Red Queen: The maintenance of sex in parasites. </w:t>
      </w:r>
      <w:r>
        <w:rPr>
          <w:i/>
          <w:iCs/>
        </w:rPr>
        <w:t>Journal of Evolutionary Biology</w:t>
      </w:r>
      <w:r>
        <w:t>, 15, 648–656.</w:t>
      </w:r>
    </w:p>
    <w:p w14:paraId="5AC040D6" w14:textId="77777777" w:rsidR="00FD0189" w:rsidRDefault="00000000">
      <w:pPr>
        <w:pStyle w:val="Bibliography"/>
      </w:pPr>
      <w:bookmarkStart w:id="181" w:name="ref-hudson1998a"/>
      <w:bookmarkEnd w:id="180"/>
      <w:r>
        <w:t xml:space="preserve">Hudson, P.J., Dobson, A.P. &amp; Newborn, D. (1998). Prevention of population cycles by parasite removal. </w:t>
      </w:r>
      <w:r>
        <w:rPr>
          <w:i/>
          <w:iCs/>
        </w:rPr>
        <w:t>Science</w:t>
      </w:r>
      <w:r>
        <w:t>, 282, 2256–2258.</w:t>
      </w:r>
    </w:p>
    <w:p w14:paraId="1C84431C" w14:textId="77777777" w:rsidR="00FD0189" w:rsidRDefault="00000000">
      <w:pPr>
        <w:pStyle w:val="Bibliography"/>
      </w:pPr>
      <w:bookmarkStart w:id="182" w:name="ref-jaenike1978a"/>
      <w:bookmarkEnd w:id="181"/>
      <w:r>
        <w:t xml:space="preserve">Jaenike, J. (1978). A hypothesis to account for the maintenance of sex within populations. </w:t>
      </w:r>
      <w:r>
        <w:rPr>
          <w:i/>
          <w:iCs/>
        </w:rPr>
        <w:t>Evolutionary Theory</w:t>
      </w:r>
      <w:r>
        <w:t>, 3, 191–194.</w:t>
      </w:r>
    </w:p>
    <w:p w14:paraId="190F5C32" w14:textId="77777777" w:rsidR="00FD0189" w:rsidRDefault="00000000">
      <w:pPr>
        <w:pStyle w:val="Bibliography"/>
      </w:pPr>
      <w:bookmarkStart w:id="183" w:name="ref-jajszczok2017a"/>
      <w:bookmarkEnd w:id="182"/>
      <w:r>
        <w:t>Jajszczok, J. (2017). The parasite and parasitism in Victorian science and literature. PhD thesis. Uniwersytet Śląski, Katowice.</w:t>
      </w:r>
    </w:p>
    <w:p w14:paraId="7D50A787" w14:textId="77777777" w:rsidR="00FD0189" w:rsidRDefault="00000000">
      <w:pPr>
        <w:pStyle w:val="Bibliography"/>
      </w:pPr>
      <w:bookmarkStart w:id="184" w:name="ref-judson1994a"/>
      <w:bookmarkEnd w:id="183"/>
      <w:r>
        <w:t xml:space="preserve">Judson, O.P. (1994). The rise of the individual-based model in ecology. </w:t>
      </w:r>
      <w:r>
        <w:rPr>
          <w:i/>
          <w:iCs/>
        </w:rPr>
        <w:t>Trends in Ecology &amp; Evolution</w:t>
      </w:r>
      <w:r>
        <w:t>, 9, 9–14.</w:t>
      </w:r>
    </w:p>
    <w:p w14:paraId="1A37DD2E" w14:textId="77777777" w:rsidR="00FD0189" w:rsidRDefault="00000000">
      <w:pPr>
        <w:pStyle w:val="Bibliography"/>
      </w:pPr>
      <w:bookmarkStart w:id="185" w:name="ref-judson1997a"/>
      <w:bookmarkEnd w:id="184"/>
      <w:r>
        <w:t xml:space="preserve">Judson, O.P. (1997). A model of asexuality and clonal diversity: Cloning the red queen. </w:t>
      </w:r>
      <w:r>
        <w:rPr>
          <w:i/>
          <w:iCs/>
        </w:rPr>
        <w:t>Journal of Theoretical Biology</w:t>
      </w:r>
      <w:r>
        <w:t>, 186, 33–40.</w:t>
      </w:r>
    </w:p>
    <w:p w14:paraId="6C2D005B" w14:textId="77777777" w:rsidR="00FD0189" w:rsidRDefault="00000000">
      <w:pPr>
        <w:pStyle w:val="Bibliography"/>
      </w:pPr>
      <w:bookmarkStart w:id="186" w:name="ref-kelley1993a"/>
      <w:bookmarkEnd w:id="185"/>
      <w:r>
        <w:t xml:space="preserve">Kelley, S.E. (1993). </w:t>
      </w:r>
      <w:hyperlink r:id="rId80">
        <w:r>
          <w:rPr>
            <w:rStyle w:val="Hyperlink"/>
          </w:rPr>
          <w:t xml:space="preserve">Viruses and the advantage of sex in </w:t>
        </w:r>
        <w:r>
          <w:rPr>
            <w:rStyle w:val="Hyperlink"/>
            <w:i/>
            <w:iCs/>
          </w:rPr>
          <w:t>Anthoxanthum odoratum</w:t>
        </w:r>
        <w:r>
          <w:rPr>
            <w:rStyle w:val="Hyperlink"/>
          </w:rPr>
          <w:t>: A review</w:t>
        </w:r>
      </w:hyperlink>
      <w:r>
        <w:t xml:space="preserve">. </w:t>
      </w:r>
      <w:r>
        <w:rPr>
          <w:i/>
          <w:iCs/>
        </w:rPr>
        <w:t>Plant Species Biology</w:t>
      </w:r>
      <w:r>
        <w:t>, 8, 217–223.</w:t>
      </w:r>
    </w:p>
    <w:p w14:paraId="15738A50" w14:textId="77777777" w:rsidR="00FD0189" w:rsidRDefault="00000000">
      <w:pPr>
        <w:pStyle w:val="Bibliography"/>
      </w:pPr>
      <w:bookmarkStart w:id="187" w:name="ref-kelley1994a"/>
      <w:bookmarkEnd w:id="186"/>
      <w:r>
        <w:t xml:space="preserve">Kelley, S.E. (1994). </w:t>
      </w:r>
      <w:hyperlink r:id="rId81">
        <w:r>
          <w:rPr>
            <w:rStyle w:val="Hyperlink"/>
          </w:rPr>
          <w:t xml:space="preserve">Viral pathogens and the advantage of sex in the perennial grass </w:t>
        </w:r>
        <w:r>
          <w:rPr>
            <w:rStyle w:val="Hyperlink"/>
            <w:i/>
            <w:iCs/>
          </w:rPr>
          <w:t>Anthoxanthum odoratum</w:t>
        </w:r>
      </w:hyperlink>
      <w:r>
        <w:t xml:space="preserve">. </w:t>
      </w:r>
      <w:r>
        <w:rPr>
          <w:i/>
          <w:iCs/>
        </w:rPr>
        <w:t>Philosophical Transactions of the Royal Society of London B, Biological Sciences</w:t>
      </w:r>
      <w:r>
        <w:t>, 346, 295–302.</w:t>
      </w:r>
    </w:p>
    <w:p w14:paraId="0C8DDE3B" w14:textId="77777777" w:rsidR="00FD0189" w:rsidRDefault="00000000">
      <w:pPr>
        <w:pStyle w:val="Bibliography"/>
      </w:pPr>
      <w:bookmarkStart w:id="188" w:name="ref-kelley1988a"/>
      <w:bookmarkEnd w:id="187"/>
      <w:r>
        <w:t xml:space="preserve">Kelley, S.E., Antonovics, J. &amp; Schmitt, J. (1988). A test of the short-term advantage of sexual reproduction. </w:t>
      </w:r>
      <w:r>
        <w:rPr>
          <w:i/>
          <w:iCs/>
        </w:rPr>
        <w:t>Nature</w:t>
      </w:r>
      <w:r>
        <w:t>, 331, 714–716.</w:t>
      </w:r>
    </w:p>
    <w:p w14:paraId="399335A1" w14:textId="77777777" w:rsidR="00FD0189" w:rsidRDefault="00000000">
      <w:pPr>
        <w:pStyle w:val="Bibliography"/>
      </w:pPr>
      <w:bookmarkStart w:id="189" w:name="ref-kimura1966a"/>
      <w:bookmarkEnd w:id="188"/>
      <w:r>
        <w:t xml:space="preserve">Kimura, M. &amp; Maruyama, T. (1966). The mutational load with epistatic gene interactions in fitness. </w:t>
      </w:r>
      <w:r>
        <w:rPr>
          <w:i/>
          <w:iCs/>
        </w:rPr>
        <w:t>Genetics</w:t>
      </w:r>
      <w:r>
        <w:t>, 54, 1337–1351.</w:t>
      </w:r>
    </w:p>
    <w:p w14:paraId="5F7D442B" w14:textId="77777777" w:rsidR="00FD0189" w:rsidRDefault="00000000">
      <w:pPr>
        <w:pStyle w:val="Bibliography"/>
      </w:pPr>
      <w:bookmarkStart w:id="190" w:name="ref-kondrashov1993a"/>
      <w:bookmarkEnd w:id="189"/>
      <w:r>
        <w:t xml:space="preserve">Kondrashov, A.S. (1993). Classification of hypotheses on the advantage of amphimixis. </w:t>
      </w:r>
      <w:r>
        <w:rPr>
          <w:i/>
          <w:iCs/>
        </w:rPr>
        <w:t>Journal of Heredity</w:t>
      </w:r>
      <w:r>
        <w:t>, 84, 372–387.</w:t>
      </w:r>
    </w:p>
    <w:p w14:paraId="63AD07ED" w14:textId="77777777" w:rsidR="00FD0189" w:rsidRDefault="00000000">
      <w:pPr>
        <w:pStyle w:val="Bibliography"/>
      </w:pPr>
      <w:bookmarkStart w:id="191" w:name="ref-kuhn1970a"/>
      <w:bookmarkEnd w:id="190"/>
      <w:r>
        <w:t xml:space="preserve">Kuhn, T.S. (1970). </w:t>
      </w:r>
      <w:r>
        <w:rPr>
          <w:i/>
          <w:iCs/>
        </w:rPr>
        <w:t>The structure of scientific revolutions</w:t>
      </w:r>
      <w:r>
        <w:t>. 2nd edn. University of Chicago Press.</w:t>
      </w:r>
    </w:p>
    <w:p w14:paraId="0015F4EE" w14:textId="77777777" w:rsidR="00FD0189" w:rsidRDefault="00000000">
      <w:pPr>
        <w:pStyle w:val="Bibliography"/>
      </w:pPr>
      <w:bookmarkStart w:id="192" w:name="ref-lampert2010a"/>
      <w:bookmarkEnd w:id="191"/>
      <w:r>
        <w:t xml:space="preserve">Lampert, K.P. &amp; Schartl, M. (2010). A little bit is better than nothing: The incomplete parthenogenesis of salamanders, frogs and fish. </w:t>
      </w:r>
      <w:r>
        <w:rPr>
          <w:i/>
          <w:iCs/>
        </w:rPr>
        <w:t>BMC Biology</w:t>
      </w:r>
      <w:r>
        <w:t>, 8, 78.</w:t>
      </w:r>
    </w:p>
    <w:p w14:paraId="6561FC2A" w14:textId="77777777" w:rsidR="00FD0189" w:rsidRDefault="00000000">
      <w:pPr>
        <w:pStyle w:val="Bibliography"/>
      </w:pPr>
      <w:bookmarkStart w:id="193" w:name="ref-lawrence2009a"/>
      <w:bookmarkEnd w:id="192"/>
      <w:r>
        <w:t xml:space="preserve">Lawrence, C.R. (2009). </w:t>
      </w:r>
      <w:hyperlink r:id="rId82">
        <w:r>
          <w:rPr>
            <w:rStyle w:val="Hyperlink"/>
          </w:rPr>
          <w:t>Charles Bonnet (1720-1793)</w:t>
        </w:r>
      </w:hyperlink>
      <w:r>
        <w:t>.</w:t>
      </w:r>
    </w:p>
    <w:p w14:paraId="7B13CFD1" w14:textId="77777777" w:rsidR="00FD0189" w:rsidRDefault="00000000">
      <w:pPr>
        <w:pStyle w:val="Bibliography"/>
      </w:pPr>
      <w:bookmarkStart w:id="194" w:name="ref-lehtonen2012a"/>
      <w:bookmarkEnd w:id="193"/>
      <w:r>
        <w:t xml:space="preserve">Lehtonen, J., Jennions, M.D. &amp; Kokko, H. (2012). The many costs of sex. </w:t>
      </w:r>
      <w:r>
        <w:rPr>
          <w:i/>
          <w:iCs/>
        </w:rPr>
        <w:t>Trends in Ecology &amp; Evolution</w:t>
      </w:r>
      <w:r>
        <w:t>, 27, 172–178.</w:t>
      </w:r>
    </w:p>
    <w:p w14:paraId="4218765E" w14:textId="77777777" w:rsidR="00FD0189" w:rsidRDefault="00000000">
      <w:pPr>
        <w:pStyle w:val="Bibliography"/>
      </w:pPr>
      <w:bookmarkStart w:id="195" w:name="ref-lerner1954a"/>
      <w:bookmarkEnd w:id="194"/>
      <w:r>
        <w:lastRenderedPageBreak/>
        <w:t xml:space="preserve">Lerner, I.M. (1954). </w:t>
      </w:r>
      <w:r>
        <w:rPr>
          <w:i/>
          <w:iCs/>
        </w:rPr>
        <w:t>Genetic homeostasis</w:t>
      </w:r>
      <w:r>
        <w:t>. John Wiley; Sons, Inc, New York.</w:t>
      </w:r>
    </w:p>
    <w:p w14:paraId="3F81CE4A" w14:textId="77777777" w:rsidR="00FD0189" w:rsidRDefault="00000000">
      <w:pPr>
        <w:pStyle w:val="Bibliography"/>
      </w:pPr>
      <w:bookmarkStart w:id="196" w:name="ref-levene1953a"/>
      <w:bookmarkEnd w:id="195"/>
      <w:r>
        <w:t xml:space="preserve">Levene, H. (1953). Genetic equilibrium when more than one ecological niche is available. </w:t>
      </w:r>
      <w:r>
        <w:rPr>
          <w:i/>
          <w:iCs/>
        </w:rPr>
        <w:t>American Naturalist</w:t>
      </w:r>
      <w:r>
        <w:t>, 87, 331–333.</w:t>
      </w:r>
    </w:p>
    <w:p w14:paraId="71D3B410" w14:textId="77777777" w:rsidR="00FD0189" w:rsidRDefault="00000000">
      <w:pPr>
        <w:pStyle w:val="Bibliography"/>
      </w:pPr>
      <w:bookmarkStart w:id="197" w:name="ref-levin1975a"/>
      <w:bookmarkEnd w:id="196"/>
      <w:r>
        <w:t xml:space="preserve">Levin, D.A. (1975). Pest pressure and recombination systems in plants. </w:t>
      </w:r>
      <w:r>
        <w:rPr>
          <w:i/>
          <w:iCs/>
        </w:rPr>
        <w:t>American Naturalist</w:t>
      </w:r>
      <w:r>
        <w:t>, 109, 437–451.</w:t>
      </w:r>
    </w:p>
    <w:p w14:paraId="61AFB914" w14:textId="77777777" w:rsidR="00FD0189" w:rsidRDefault="00000000">
      <w:pPr>
        <w:pStyle w:val="Bibliography"/>
      </w:pPr>
      <w:bookmarkStart w:id="198" w:name="ref-levins1966a"/>
      <w:bookmarkEnd w:id="197"/>
      <w:r>
        <w:t xml:space="preserve">Levins, R. (1966). The strategy of model building in population biology. </w:t>
      </w:r>
      <w:r>
        <w:rPr>
          <w:i/>
          <w:iCs/>
        </w:rPr>
        <w:t>American Scientist</w:t>
      </w:r>
      <w:r>
        <w:t>, 54, 421–431.</w:t>
      </w:r>
    </w:p>
    <w:p w14:paraId="2D5C2A6E" w14:textId="77777777" w:rsidR="00FD0189" w:rsidRDefault="00000000">
      <w:pPr>
        <w:pStyle w:val="Bibliography"/>
      </w:pPr>
      <w:bookmarkStart w:id="199" w:name="ref-levinton1988a"/>
      <w:bookmarkEnd w:id="198"/>
      <w:r>
        <w:t xml:space="preserve">Levinton, J. (1988). </w:t>
      </w:r>
      <w:r>
        <w:rPr>
          <w:i/>
          <w:iCs/>
        </w:rPr>
        <w:t>Genetics, paleontology, and macroevolution</w:t>
      </w:r>
      <w:r>
        <w:t>. Cambridge University Press.</w:t>
      </w:r>
    </w:p>
    <w:p w14:paraId="43D48298" w14:textId="77777777" w:rsidR="00FD0189" w:rsidRDefault="00000000">
      <w:pPr>
        <w:pStyle w:val="Bibliography"/>
      </w:pPr>
      <w:bookmarkStart w:id="200" w:name="ref-levri2000a"/>
      <w:bookmarkEnd w:id="199"/>
      <w:r>
        <w:t xml:space="preserve">Levri, E.P. &amp; Fisher, L.M. (2000). </w:t>
      </w:r>
      <w:hyperlink r:id="rId83">
        <w:r>
          <w:rPr>
            <w:rStyle w:val="Hyperlink"/>
          </w:rPr>
          <w:t>The effect of a trematode parasite (</w:t>
        </w:r>
        <w:r>
          <w:rPr>
            <w:rStyle w:val="Hyperlink"/>
            <w:i/>
            <w:iCs/>
          </w:rPr>
          <w:t>Microphallus sp.</w:t>
        </w:r>
        <w:r>
          <w:rPr>
            <w:rStyle w:val="Hyperlink"/>
          </w:rPr>
          <w:t xml:space="preserve">) on the response of the freshwater snail </w:t>
        </w:r>
        <w:r>
          <w:rPr>
            <w:rStyle w:val="Hyperlink"/>
            <w:i/>
            <w:iCs/>
          </w:rPr>
          <w:t>Potamopyrgus antipodarum</w:t>
        </w:r>
        <w:r>
          <w:rPr>
            <w:rStyle w:val="Hyperlink"/>
          </w:rPr>
          <w:t xml:space="preserve"> to light and gravity</w:t>
        </w:r>
      </w:hyperlink>
      <w:r>
        <w:t xml:space="preserve">. </w:t>
      </w:r>
      <w:r>
        <w:rPr>
          <w:i/>
          <w:iCs/>
        </w:rPr>
        <w:t>Behaviour</w:t>
      </w:r>
      <w:r>
        <w:t>, 137, 1141–1151.</w:t>
      </w:r>
    </w:p>
    <w:p w14:paraId="4AA2E9BE" w14:textId="77777777" w:rsidR="00FD0189" w:rsidRDefault="00000000">
      <w:pPr>
        <w:pStyle w:val="Bibliography"/>
      </w:pPr>
      <w:bookmarkStart w:id="201" w:name="ref-levri1996a"/>
      <w:bookmarkEnd w:id="200"/>
      <w:r>
        <w:t xml:space="preserve">Levri, E.P. &amp; Lively, C.M. (1996). The effects of size, reproductive condition, and parasitism on foraging behaviour in a freshwater snail, </w:t>
      </w:r>
      <w:r>
        <w:rPr>
          <w:i/>
          <w:iCs/>
        </w:rPr>
        <w:t>Potamopyrgus antipodarum</w:t>
      </w:r>
      <w:r>
        <w:t xml:space="preserve">. </w:t>
      </w:r>
      <w:r>
        <w:rPr>
          <w:i/>
          <w:iCs/>
        </w:rPr>
        <w:t>Animal Behaviour</w:t>
      </w:r>
      <w:r>
        <w:t>, 51, 891–901.</w:t>
      </w:r>
    </w:p>
    <w:p w14:paraId="66EE06C5" w14:textId="77777777" w:rsidR="00FD0189" w:rsidRDefault="00000000">
      <w:pPr>
        <w:pStyle w:val="Bibliography"/>
      </w:pPr>
      <w:bookmarkStart w:id="202" w:name="ref-lewontin1971a"/>
      <w:bookmarkEnd w:id="201"/>
      <w:r>
        <w:t xml:space="preserve">Lewontin, R.C. (1971). </w:t>
      </w:r>
      <w:hyperlink r:id="rId84">
        <w:r>
          <w:rPr>
            <w:rStyle w:val="Hyperlink"/>
          </w:rPr>
          <w:t>The effect of genetic linkage on the mean fitness of a population</w:t>
        </w:r>
      </w:hyperlink>
      <w:r>
        <w:t xml:space="preserve">. </w:t>
      </w:r>
      <w:r>
        <w:rPr>
          <w:i/>
          <w:iCs/>
        </w:rPr>
        <w:t>Proceedings of the National Academy of Sciences of the United States of America</w:t>
      </w:r>
      <w:r>
        <w:t>, 68, 984–986.</w:t>
      </w:r>
    </w:p>
    <w:p w14:paraId="5486B138" w14:textId="77777777" w:rsidR="00FD0189" w:rsidRDefault="00000000">
      <w:pPr>
        <w:pStyle w:val="Bibliography"/>
      </w:pPr>
      <w:bookmarkStart w:id="203" w:name="ref-lively1986a"/>
      <w:bookmarkEnd w:id="202"/>
      <w:r>
        <w:t xml:space="preserve">Lively, C.M. (1986a). Canalization versus developmental conversion in a spatially variable environment. </w:t>
      </w:r>
      <w:r>
        <w:rPr>
          <w:i/>
          <w:iCs/>
        </w:rPr>
        <w:t>American Naturalist</w:t>
      </w:r>
      <w:r>
        <w:t>, 128, 561–572.</w:t>
      </w:r>
    </w:p>
    <w:p w14:paraId="4E49A2A3" w14:textId="77777777" w:rsidR="00FD0189" w:rsidRDefault="00000000">
      <w:pPr>
        <w:pStyle w:val="Bibliography"/>
      </w:pPr>
      <w:bookmarkStart w:id="204" w:name="ref-lively1986b"/>
      <w:bookmarkEnd w:id="203"/>
      <w:r>
        <w:t xml:space="preserve">Lively, C.M. (1986b). Competition, comparative life histories, and maintenance of shell dimorphism in a barnacle. </w:t>
      </w:r>
      <w:r>
        <w:rPr>
          <w:i/>
          <w:iCs/>
        </w:rPr>
        <w:t>Ecology</w:t>
      </w:r>
      <w:r>
        <w:t>, 67, 858–864.</w:t>
      </w:r>
    </w:p>
    <w:p w14:paraId="79F11344" w14:textId="77777777" w:rsidR="00FD0189" w:rsidRDefault="00000000">
      <w:pPr>
        <w:pStyle w:val="Bibliography"/>
      </w:pPr>
      <w:bookmarkStart w:id="205" w:name="ref-lively1986c"/>
      <w:bookmarkEnd w:id="204"/>
      <w:r>
        <w:t xml:space="preserve">Lively, C.M. (1986c). </w:t>
      </w:r>
      <w:hyperlink r:id="rId85">
        <w:r>
          <w:rPr>
            <w:rStyle w:val="Hyperlink"/>
          </w:rPr>
          <w:t xml:space="preserve">Predator-induced shell dimorphism in the acorn barnacle </w:t>
        </w:r>
        <w:r>
          <w:rPr>
            <w:rStyle w:val="Hyperlink"/>
            <w:i/>
            <w:iCs/>
          </w:rPr>
          <w:t>Chthamalus anisopoma</w:t>
        </w:r>
      </w:hyperlink>
      <w:r>
        <w:t xml:space="preserve">. </w:t>
      </w:r>
      <w:r>
        <w:rPr>
          <w:i/>
          <w:iCs/>
        </w:rPr>
        <w:t>Evolution</w:t>
      </w:r>
      <w:r>
        <w:t>, 40, 232–242.</w:t>
      </w:r>
    </w:p>
    <w:p w14:paraId="307CFF8E" w14:textId="77777777" w:rsidR="00FD0189" w:rsidRDefault="00000000">
      <w:pPr>
        <w:pStyle w:val="Bibliography"/>
      </w:pPr>
      <w:bookmarkStart w:id="206" w:name="ref-lively1987a"/>
      <w:bookmarkEnd w:id="205"/>
      <w:r>
        <w:t xml:space="preserve">Lively, C.M. (1987). Evidence from a New Zealand snail for the maintenance of sex by parasitism. </w:t>
      </w:r>
      <w:r>
        <w:rPr>
          <w:i/>
          <w:iCs/>
        </w:rPr>
        <w:t>Nature</w:t>
      </w:r>
      <w:r>
        <w:t>, 328, 519–521.</w:t>
      </w:r>
    </w:p>
    <w:p w14:paraId="4664BB22" w14:textId="77777777" w:rsidR="00FD0189" w:rsidRDefault="00000000">
      <w:pPr>
        <w:pStyle w:val="Bibliography"/>
      </w:pPr>
      <w:bookmarkStart w:id="207" w:name="ref-lively1989a"/>
      <w:bookmarkEnd w:id="206"/>
      <w:r>
        <w:t xml:space="preserve">Lively, C.M. (1989). Adaptation by a parasitic trematode to local populations of its snail host. </w:t>
      </w:r>
      <w:r>
        <w:rPr>
          <w:i/>
          <w:iCs/>
        </w:rPr>
        <w:t>Evolution</w:t>
      </w:r>
      <w:r>
        <w:t>, 43, 1663–1671.</w:t>
      </w:r>
    </w:p>
    <w:p w14:paraId="216BEB4F" w14:textId="77777777" w:rsidR="00FD0189" w:rsidRDefault="00000000">
      <w:pPr>
        <w:pStyle w:val="Bibliography"/>
      </w:pPr>
      <w:bookmarkStart w:id="208" w:name="ref-lively1992a"/>
      <w:bookmarkEnd w:id="207"/>
      <w:r>
        <w:t xml:space="preserve">Lively, C.M. (1992). Parthenogenesis in a freshwater snail: Reproductive assurance versus parasitic release. </w:t>
      </w:r>
      <w:r>
        <w:rPr>
          <w:i/>
          <w:iCs/>
        </w:rPr>
        <w:t>Evolution</w:t>
      </w:r>
      <w:r>
        <w:t>, 46, 907–913.</w:t>
      </w:r>
    </w:p>
    <w:p w14:paraId="442EF504" w14:textId="77777777" w:rsidR="00FD0189" w:rsidRDefault="00000000">
      <w:pPr>
        <w:pStyle w:val="Bibliography"/>
      </w:pPr>
      <w:bookmarkStart w:id="209" w:name="ref-lively1996a"/>
      <w:bookmarkEnd w:id="208"/>
      <w:r>
        <w:t xml:space="preserve">Lively, C.M. (1996). Host-parasite coevolution and sex. </w:t>
      </w:r>
      <w:r>
        <w:rPr>
          <w:i/>
          <w:iCs/>
        </w:rPr>
        <w:t>Bioscience</w:t>
      </w:r>
      <w:r>
        <w:t>, 46, 107–109.</w:t>
      </w:r>
    </w:p>
    <w:p w14:paraId="587A6096" w14:textId="77777777" w:rsidR="00FD0189" w:rsidRDefault="00000000">
      <w:pPr>
        <w:pStyle w:val="Bibliography"/>
      </w:pPr>
      <w:bookmarkStart w:id="210" w:name="ref-lively1999b"/>
      <w:bookmarkEnd w:id="209"/>
      <w:r>
        <w:t xml:space="preserve">Lively, C.M. (1999a). Developmental strategies in spatially variable environments: Barnacle shell dimorphism and strategic models of selection. In: </w:t>
      </w:r>
      <w:r>
        <w:rPr>
          <w:i/>
          <w:iCs/>
        </w:rPr>
        <w:t>The ecology and evolution of inducible defenses</w:t>
      </w:r>
      <w:r>
        <w:t xml:space="preserve"> (eds. Tollrian, R. &amp; Harvell, C.D.). Princeton University Press, pp. 245–258.</w:t>
      </w:r>
    </w:p>
    <w:p w14:paraId="69D834EE" w14:textId="77777777" w:rsidR="00FD0189" w:rsidRDefault="00000000">
      <w:pPr>
        <w:pStyle w:val="Bibliography"/>
      </w:pPr>
      <w:bookmarkStart w:id="211" w:name="ref-lively1999a"/>
      <w:bookmarkEnd w:id="210"/>
      <w:r>
        <w:lastRenderedPageBreak/>
        <w:t xml:space="preserve">Lively, C.M. (1999b). </w:t>
      </w:r>
      <w:hyperlink r:id="rId86">
        <w:r>
          <w:rPr>
            <w:rStyle w:val="Hyperlink"/>
          </w:rPr>
          <w:t>Migration, virulence, and the geographic mosaic of adaptation by parasites.</w:t>
        </w:r>
      </w:hyperlink>
      <w:r>
        <w:t xml:space="preserve"> </w:t>
      </w:r>
      <w:r>
        <w:rPr>
          <w:i/>
          <w:iCs/>
        </w:rPr>
        <w:t>The American Naturalist</w:t>
      </w:r>
      <w:r>
        <w:t>, 153, S34–S47.</w:t>
      </w:r>
    </w:p>
    <w:p w14:paraId="26737185" w14:textId="77777777" w:rsidR="00FD0189" w:rsidRDefault="00000000">
      <w:pPr>
        <w:pStyle w:val="Bibliography"/>
      </w:pPr>
      <w:bookmarkStart w:id="212" w:name="ref-lively2001a"/>
      <w:bookmarkEnd w:id="211"/>
      <w:r>
        <w:t xml:space="preserve">Lively, C.M. (2001). Trematode infection and the distribution and dynamics of parthenogenetic snail populations. </w:t>
      </w:r>
      <w:r>
        <w:rPr>
          <w:i/>
          <w:iCs/>
        </w:rPr>
        <w:t>Parasitology</w:t>
      </w:r>
      <w:r>
        <w:t>, 123, S19–S26.</w:t>
      </w:r>
    </w:p>
    <w:p w14:paraId="35D6B3BD" w14:textId="77777777" w:rsidR="00FD0189" w:rsidRDefault="00000000">
      <w:pPr>
        <w:pStyle w:val="Bibliography"/>
      </w:pPr>
      <w:bookmarkStart w:id="213" w:name="ref-lively2006a"/>
      <w:bookmarkEnd w:id="212"/>
      <w:r>
        <w:t xml:space="preserve">Lively, C.M. (2006). The ecology of virulence. </w:t>
      </w:r>
      <w:r>
        <w:rPr>
          <w:i/>
          <w:iCs/>
        </w:rPr>
        <w:t>Ecology Letters</w:t>
      </w:r>
      <w:r>
        <w:t>, 9, 1089–1095.</w:t>
      </w:r>
    </w:p>
    <w:p w14:paraId="08BA2AE3" w14:textId="77777777" w:rsidR="00FD0189" w:rsidRDefault="00000000">
      <w:pPr>
        <w:pStyle w:val="Bibliography"/>
      </w:pPr>
      <w:bookmarkStart w:id="214" w:name="ref-lively2009a"/>
      <w:bookmarkEnd w:id="213"/>
      <w:r>
        <w:t xml:space="preserve">Lively, C.M. (2009). The maintenance of sex: Host-parasite coevolution with density-dependent virulence. </w:t>
      </w:r>
      <w:r>
        <w:rPr>
          <w:i/>
          <w:iCs/>
        </w:rPr>
        <w:t>Journal of Evolutionary Biology</w:t>
      </w:r>
      <w:r>
        <w:t>, 22, 2086–2093.</w:t>
      </w:r>
    </w:p>
    <w:p w14:paraId="690BF60B" w14:textId="77777777" w:rsidR="00FD0189" w:rsidRDefault="00000000">
      <w:pPr>
        <w:pStyle w:val="Bibliography"/>
      </w:pPr>
      <w:bookmarkStart w:id="215" w:name="ref-lively2018a"/>
      <w:bookmarkEnd w:id="214"/>
      <w:r>
        <w:t xml:space="preserve">Lively, C.M. (2018). Habitat heterogeneity, host population structure, and parasite local adaptation. </w:t>
      </w:r>
      <w:r>
        <w:rPr>
          <w:i/>
          <w:iCs/>
        </w:rPr>
        <w:t>Journal of Heredity</w:t>
      </w:r>
      <w:r>
        <w:t>, 109, 29–37.</w:t>
      </w:r>
    </w:p>
    <w:p w14:paraId="0AEAEAF3" w14:textId="77777777" w:rsidR="00FD0189" w:rsidRDefault="00000000">
      <w:pPr>
        <w:pStyle w:val="Bibliography"/>
      </w:pPr>
      <w:bookmarkStart w:id="216" w:name="ref-lively1990a"/>
      <w:bookmarkEnd w:id="215"/>
      <w:r>
        <w:t xml:space="preserve">Lively, C.M., Craddock, C. &amp; Vrijenhoek, R.C. (1990). Red Queen hypothesis supported by parasitism in sexual and clonal fish. </w:t>
      </w:r>
      <w:r>
        <w:rPr>
          <w:i/>
          <w:iCs/>
        </w:rPr>
        <w:t>Nature</w:t>
      </w:r>
      <w:r>
        <w:t>, 344, 864–866.</w:t>
      </w:r>
    </w:p>
    <w:p w14:paraId="714435C8" w14:textId="77777777" w:rsidR="00FD0189" w:rsidRDefault="00000000">
      <w:pPr>
        <w:pStyle w:val="Bibliography"/>
      </w:pPr>
      <w:bookmarkStart w:id="217" w:name="ref-lively2004a"/>
      <w:bookmarkEnd w:id="216"/>
      <w:r>
        <w:t xml:space="preserve">Lively, C.M., Dybdahl, M.F., Jokela, J., Osnas, E.E. &amp; Delph, L.F. (2004). Host sex and local adaptation by parasites in a snail-trematode interaction. </w:t>
      </w:r>
      <w:r>
        <w:rPr>
          <w:i/>
          <w:iCs/>
        </w:rPr>
        <w:t>American Naturalist</w:t>
      </w:r>
      <w:r>
        <w:t>, 164, S6–S18.</w:t>
      </w:r>
    </w:p>
    <w:p w14:paraId="60D01AC3" w14:textId="77777777" w:rsidR="00FD0189" w:rsidRDefault="00000000">
      <w:pPr>
        <w:pStyle w:val="Bibliography"/>
      </w:pPr>
      <w:bookmarkStart w:id="218" w:name="ref-lively2000a"/>
      <w:bookmarkEnd w:id="217"/>
      <w:r>
        <w:t xml:space="preserve">Lively, C.M., Hazel, W.N., Schellenberger, M.J. &amp; Michelson, K.S. (2000). Predator-induced defense: Variation for inducibility in an intertidal barnacle. </w:t>
      </w:r>
      <w:r>
        <w:rPr>
          <w:i/>
          <w:iCs/>
        </w:rPr>
        <w:t>Ecology</w:t>
      </w:r>
      <w:r>
        <w:t>, 81, 1240–1247.</w:t>
      </w:r>
    </w:p>
    <w:p w14:paraId="2A9F9444" w14:textId="77777777" w:rsidR="00FD0189" w:rsidRDefault="00000000">
      <w:pPr>
        <w:pStyle w:val="Bibliography"/>
      </w:pPr>
      <w:bookmarkStart w:id="219" w:name="ref-lively1994a"/>
      <w:bookmarkEnd w:id="218"/>
      <w:r>
        <w:t xml:space="preserve">Lively, C.M. &amp; Howard, R.S. (1994). </w:t>
      </w:r>
      <w:hyperlink r:id="rId87">
        <w:r>
          <w:rPr>
            <w:rStyle w:val="Hyperlink"/>
          </w:rPr>
          <w:t>Selection by parasites for clonal diversity and mixed mating</w:t>
        </w:r>
      </w:hyperlink>
      <w:r>
        <w:t xml:space="preserve">. </w:t>
      </w:r>
      <w:r>
        <w:rPr>
          <w:i/>
          <w:iCs/>
        </w:rPr>
        <w:t>Philosophical transactions of the Royal Society of London. Series B, Biological sciences</w:t>
      </w:r>
      <w:r>
        <w:t>, 346, 271–281.</w:t>
      </w:r>
    </w:p>
    <w:p w14:paraId="4707BDFC" w14:textId="77777777" w:rsidR="00FD0189" w:rsidRDefault="00000000">
      <w:pPr>
        <w:pStyle w:val="Bibliography"/>
      </w:pPr>
      <w:bookmarkStart w:id="220" w:name="ref-lively1994b"/>
      <w:bookmarkEnd w:id="219"/>
      <w:r>
        <w:t xml:space="preserve">Lively, C.M. &amp; Johnson, S.G. (1994). </w:t>
      </w:r>
      <w:hyperlink r:id="rId88">
        <w:r>
          <w:rPr>
            <w:rStyle w:val="Hyperlink"/>
          </w:rPr>
          <w:t>Brooding and the evolution of parthenogenesis: Strategy models and evidence from aquatic invertebrates</w:t>
        </w:r>
      </w:hyperlink>
      <w:r>
        <w:t xml:space="preserve">. </w:t>
      </w:r>
      <w:r>
        <w:rPr>
          <w:i/>
          <w:iCs/>
        </w:rPr>
        <w:t>Proceedings of the Royal Society of London. Series B: Biological Sciences</w:t>
      </w:r>
      <w:r>
        <w:t>, 256, 89–95.</w:t>
      </w:r>
    </w:p>
    <w:p w14:paraId="0F1038C1" w14:textId="77777777" w:rsidR="00FD0189" w:rsidRDefault="00000000">
      <w:pPr>
        <w:pStyle w:val="Bibliography"/>
      </w:pPr>
      <w:bookmarkStart w:id="221" w:name="ref-lively1995a"/>
      <w:bookmarkEnd w:id="220"/>
      <w:r>
        <w:t xml:space="preserve">Lively, C.M., Johnson, S.G., Delph, L.F. &amp; Clay, K. (1995). </w:t>
      </w:r>
      <w:hyperlink r:id="rId89">
        <w:r>
          <w:rPr>
            <w:rStyle w:val="Hyperlink"/>
          </w:rPr>
          <w:t>Thinning reduces the effect of rust infection on jewelweed (</w:t>
        </w:r>
        <w:r>
          <w:rPr>
            <w:rStyle w:val="Hyperlink"/>
            <w:i/>
            <w:iCs/>
          </w:rPr>
          <w:t>Impatiens capensis</w:t>
        </w:r>
        <w:r>
          <w:rPr>
            <w:rStyle w:val="Hyperlink"/>
          </w:rPr>
          <w:t>)</w:t>
        </w:r>
      </w:hyperlink>
      <w:r>
        <w:t xml:space="preserve">. </w:t>
      </w:r>
      <w:r>
        <w:rPr>
          <w:i/>
          <w:iCs/>
        </w:rPr>
        <w:t>Ecology</w:t>
      </w:r>
      <w:r>
        <w:t>, 76, 1859–1862.</w:t>
      </w:r>
    </w:p>
    <w:p w14:paraId="7C5DED2C" w14:textId="77777777" w:rsidR="00FD0189" w:rsidRDefault="00000000">
      <w:pPr>
        <w:pStyle w:val="Bibliography"/>
      </w:pPr>
      <w:bookmarkStart w:id="222" w:name="ref-lively2002a"/>
      <w:bookmarkEnd w:id="221"/>
      <w:r>
        <w:t xml:space="preserve">Lively, C.M. &amp; Jokela, J. (2002). Temporal and spatial distributions of parasites and sex in a freshwater snail. </w:t>
      </w:r>
      <w:r>
        <w:rPr>
          <w:i/>
          <w:iCs/>
        </w:rPr>
        <w:t>Evolutionary Ecology Research</w:t>
      </w:r>
      <w:r>
        <w:t>, 4, 219–226.</w:t>
      </w:r>
    </w:p>
    <w:p w14:paraId="3A609F81" w14:textId="77777777" w:rsidR="00FD0189" w:rsidRDefault="00000000">
      <w:pPr>
        <w:pStyle w:val="Bibliography"/>
      </w:pPr>
      <w:bookmarkStart w:id="223" w:name="ref-lively1990b"/>
      <w:bookmarkEnd w:id="222"/>
      <w:r>
        <w:t xml:space="preserve">Lively, C.M. &amp; Lloyd, D.G. (1990). The cost of biparental sex under individual selection. </w:t>
      </w:r>
      <w:r>
        <w:rPr>
          <w:i/>
          <w:iCs/>
        </w:rPr>
        <w:t>American Naturalist</w:t>
      </w:r>
      <w:r>
        <w:t>, 135, 489–500.</w:t>
      </w:r>
    </w:p>
    <w:p w14:paraId="27D3EEB5" w14:textId="77777777" w:rsidR="00FD0189" w:rsidRDefault="00000000">
      <w:pPr>
        <w:pStyle w:val="Bibliography"/>
      </w:pPr>
      <w:bookmarkStart w:id="224" w:name="ref-lively2022a"/>
      <w:bookmarkEnd w:id="223"/>
      <w:r>
        <w:t xml:space="preserve">Lively, C.M. &amp; Wade, M.J. (2022). </w:t>
      </w:r>
      <w:hyperlink r:id="rId90">
        <w:r>
          <w:rPr>
            <w:rStyle w:val="Hyperlink"/>
          </w:rPr>
          <w:t>Host–parasite coevolution: Partitioning the effects of natural selection and environmental change using coupled price equations</w:t>
        </w:r>
      </w:hyperlink>
      <w:r>
        <w:t xml:space="preserve">. </w:t>
      </w:r>
      <w:r>
        <w:rPr>
          <w:i/>
          <w:iCs/>
        </w:rPr>
        <w:t>Ecology and Evolution</w:t>
      </w:r>
      <w:r>
        <w:t>, 12, e9136.</w:t>
      </w:r>
    </w:p>
    <w:p w14:paraId="08795D3D" w14:textId="77777777" w:rsidR="00FD0189" w:rsidRDefault="00000000">
      <w:pPr>
        <w:pStyle w:val="Bibliography"/>
      </w:pPr>
      <w:bookmarkStart w:id="225" w:name="ref-lively2021a"/>
      <w:bookmarkEnd w:id="224"/>
      <w:r>
        <w:t xml:space="preserve">Lively, C.M., Xu, J. &amp; Ben-Ami, F. (2021). </w:t>
      </w:r>
      <w:hyperlink r:id="rId91">
        <w:r>
          <w:rPr>
            <w:rStyle w:val="Hyperlink"/>
          </w:rPr>
          <w:t>Causation without correlation: Parasite-mediated frequency-dependent selection and infection prevalence</w:t>
        </w:r>
      </w:hyperlink>
      <w:r>
        <w:t xml:space="preserve">. </w:t>
      </w:r>
      <w:r>
        <w:rPr>
          <w:i/>
          <w:iCs/>
        </w:rPr>
        <w:t>Biology Letters</w:t>
      </w:r>
      <w:r>
        <w:t>, 17, 20210321.</w:t>
      </w:r>
    </w:p>
    <w:p w14:paraId="32FAAB94" w14:textId="77777777" w:rsidR="00FD0189" w:rsidRDefault="00000000">
      <w:pPr>
        <w:pStyle w:val="Bibliography"/>
      </w:pPr>
      <w:bookmarkStart w:id="226" w:name="ref-lloyd1980a"/>
      <w:bookmarkEnd w:id="225"/>
      <w:r>
        <w:t xml:space="preserve">Lloyd, D.G. (1980). Benefits and handicaps of sexual reproduction. </w:t>
      </w:r>
      <w:r>
        <w:rPr>
          <w:i/>
          <w:iCs/>
        </w:rPr>
        <w:t>Evolutionary Biology</w:t>
      </w:r>
      <w:r>
        <w:t>, 13, 69–111.</w:t>
      </w:r>
    </w:p>
    <w:p w14:paraId="55950C01" w14:textId="77777777" w:rsidR="00FD0189" w:rsidRDefault="00000000">
      <w:pPr>
        <w:pStyle w:val="Bibliography"/>
      </w:pPr>
      <w:bookmarkStart w:id="227" w:name="ref-lloyd1984a"/>
      <w:bookmarkEnd w:id="226"/>
      <w:r>
        <w:lastRenderedPageBreak/>
        <w:t xml:space="preserve">Lloyd, D.G. (1984). Variation strategies of plants in heterogeneous environments. </w:t>
      </w:r>
      <w:r>
        <w:rPr>
          <w:i/>
          <w:iCs/>
        </w:rPr>
        <w:t>Biological Journal of the Linnean Society</w:t>
      </w:r>
      <w:r>
        <w:t>, 21, 357–385.</w:t>
      </w:r>
    </w:p>
    <w:p w14:paraId="51FA67E4" w14:textId="77777777" w:rsidR="00FD0189" w:rsidRDefault="00000000">
      <w:pPr>
        <w:pStyle w:val="Bibliography"/>
      </w:pPr>
      <w:bookmarkStart w:id="228" w:name="ref-lynch1990a"/>
      <w:bookmarkEnd w:id="227"/>
      <w:r>
        <w:t xml:space="preserve">Lynch, M. &amp; Gabriel, W. (1990). Mutation load and the survival of small populations. </w:t>
      </w:r>
      <w:r>
        <w:rPr>
          <w:i/>
          <w:iCs/>
        </w:rPr>
        <w:t>Evolution</w:t>
      </w:r>
      <w:r>
        <w:t>, 44, 1725–1737.</w:t>
      </w:r>
    </w:p>
    <w:p w14:paraId="0E707464" w14:textId="77777777" w:rsidR="00FD0189" w:rsidRDefault="00000000">
      <w:pPr>
        <w:pStyle w:val="Bibliography"/>
      </w:pPr>
      <w:bookmarkStart w:id="229" w:name="ref-lythgoe2000a"/>
      <w:bookmarkEnd w:id="228"/>
      <w:r>
        <w:t xml:space="preserve">Lythgoe, K.A. (2000). </w:t>
      </w:r>
      <w:hyperlink r:id="rId92">
        <w:r>
          <w:rPr>
            <w:rStyle w:val="Hyperlink"/>
          </w:rPr>
          <w:t>The coevolution of parasites with host-acquired immunity and the evolution of sex</w:t>
        </w:r>
      </w:hyperlink>
      <w:r>
        <w:t xml:space="preserve">. </w:t>
      </w:r>
      <w:r>
        <w:rPr>
          <w:i/>
          <w:iCs/>
        </w:rPr>
        <w:t>Evolution</w:t>
      </w:r>
      <w:r>
        <w:t>, 54, 1142–1156.</w:t>
      </w:r>
    </w:p>
    <w:p w14:paraId="0B2DDCA6" w14:textId="77777777" w:rsidR="00FD0189" w:rsidRDefault="00000000">
      <w:pPr>
        <w:pStyle w:val="Bibliography"/>
      </w:pPr>
      <w:bookmarkStart w:id="230" w:name="ref-may1979a"/>
      <w:bookmarkEnd w:id="229"/>
      <w:r>
        <w:t xml:space="preserve">May, R.M. &amp; Anderson, R.M. (1979). Population biology of infectious diseases: Part II. </w:t>
      </w:r>
      <w:r>
        <w:rPr>
          <w:i/>
          <w:iCs/>
        </w:rPr>
        <w:t>Nature</w:t>
      </w:r>
      <w:r>
        <w:t>, 280, 455–461.</w:t>
      </w:r>
    </w:p>
    <w:p w14:paraId="7976883F" w14:textId="77777777" w:rsidR="00FD0189" w:rsidRDefault="00000000">
      <w:pPr>
        <w:pStyle w:val="Bibliography"/>
      </w:pPr>
      <w:bookmarkStart w:id="231" w:name="ref-may1983a"/>
      <w:bookmarkEnd w:id="230"/>
      <w:r>
        <w:t xml:space="preserve">May, R.M. &amp; Anderson, R.M. (1983). </w:t>
      </w:r>
      <w:hyperlink r:id="rId93">
        <w:r>
          <w:rPr>
            <w:rStyle w:val="Hyperlink"/>
          </w:rPr>
          <w:t>Epidemiology and genetics in the coevolution of parasites and hosts</w:t>
        </w:r>
      </w:hyperlink>
      <w:r>
        <w:t xml:space="preserve">. </w:t>
      </w:r>
      <w:r>
        <w:rPr>
          <w:i/>
          <w:iCs/>
        </w:rPr>
        <w:t>Proceedings of the Royal Society of London. Series B. Biological Sciences</w:t>
      </w:r>
      <w:r>
        <w:t>, 219, 281–313.</w:t>
      </w:r>
    </w:p>
    <w:p w14:paraId="5355BEB7" w14:textId="77777777" w:rsidR="00FD0189" w:rsidRDefault="00000000">
      <w:pPr>
        <w:pStyle w:val="Bibliography"/>
      </w:pPr>
      <w:bookmarkStart w:id="232" w:name="ref-maynard1971a"/>
      <w:bookmarkEnd w:id="231"/>
      <w:r>
        <w:t xml:space="preserve">Maynard Smith, J. (1971). What use is sex? </w:t>
      </w:r>
      <w:r>
        <w:rPr>
          <w:i/>
          <w:iCs/>
        </w:rPr>
        <w:t>Journal of Theoretical Biology</w:t>
      </w:r>
      <w:r>
        <w:t>, 30, 319–335.</w:t>
      </w:r>
    </w:p>
    <w:p w14:paraId="1B8246A1" w14:textId="77777777" w:rsidR="00FD0189" w:rsidRDefault="00000000">
      <w:pPr>
        <w:pStyle w:val="Bibliography"/>
      </w:pPr>
      <w:bookmarkStart w:id="233" w:name="ref-maynard1976a"/>
      <w:bookmarkEnd w:id="232"/>
      <w:r>
        <w:t xml:space="preserve">Maynard Smith, J. (1976). A short-term advantage for sex and recombination through sib-competition. </w:t>
      </w:r>
      <w:r>
        <w:rPr>
          <w:i/>
          <w:iCs/>
        </w:rPr>
        <w:t>Journal of Theoretical Biology</w:t>
      </w:r>
      <w:r>
        <w:t>, 63, 245–258.</w:t>
      </w:r>
    </w:p>
    <w:p w14:paraId="6FDC4149" w14:textId="77777777" w:rsidR="00FD0189" w:rsidRDefault="00000000">
      <w:pPr>
        <w:pStyle w:val="Bibliography"/>
      </w:pPr>
      <w:bookmarkStart w:id="234" w:name="ref-maynard1978a"/>
      <w:bookmarkEnd w:id="233"/>
      <w:r>
        <w:t xml:space="preserve">Maynard Smith, J. (1978). </w:t>
      </w:r>
      <w:r>
        <w:rPr>
          <w:i/>
          <w:iCs/>
        </w:rPr>
        <w:t>The evolution of sex</w:t>
      </w:r>
      <w:r>
        <w:t>. Cambridge University Press.</w:t>
      </w:r>
    </w:p>
    <w:p w14:paraId="6FC19390" w14:textId="77777777" w:rsidR="00FD0189" w:rsidRDefault="00000000">
      <w:pPr>
        <w:pStyle w:val="Bibliography"/>
      </w:pPr>
      <w:bookmarkStart w:id="235" w:name="ref-maynard1980a"/>
      <w:bookmarkEnd w:id="234"/>
      <w:r>
        <w:t xml:space="preserve">Maynard Smith, J. &amp; Hoekstra, R. (1980). </w:t>
      </w:r>
      <w:hyperlink r:id="rId94">
        <w:r>
          <w:rPr>
            <w:rStyle w:val="Hyperlink"/>
          </w:rPr>
          <w:t>Polymorphism in a varied environment: How robust are the models?</w:t>
        </w:r>
      </w:hyperlink>
      <w:r>
        <w:t xml:space="preserve"> </w:t>
      </w:r>
      <w:r>
        <w:rPr>
          <w:i/>
          <w:iCs/>
        </w:rPr>
        <w:t>Genetics Research</w:t>
      </w:r>
      <w:r>
        <w:t>, 35, 45–57.</w:t>
      </w:r>
    </w:p>
    <w:p w14:paraId="7046F9DD" w14:textId="77777777" w:rsidR="00FD0189" w:rsidRDefault="00000000">
      <w:pPr>
        <w:pStyle w:val="Bibliography"/>
      </w:pPr>
      <w:bookmarkStart w:id="236" w:name="ref-meirmans2009a"/>
      <w:bookmarkEnd w:id="235"/>
      <w:r>
        <w:t xml:space="preserve">Meirmans, S. (2009). The evolution of the problem of sex. In: </w:t>
      </w:r>
      <w:r>
        <w:rPr>
          <w:i/>
          <w:iCs/>
        </w:rPr>
        <w:t>Lost sex: The evolutionary biology of parthenogenesis</w:t>
      </w:r>
      <w:r>
        <w:t xml:space="preserve"> (eds. Schön, I., Martens, K. &amp; Dijk, P. van). Springer, London, pp. 21–46.</w:t>
      </w:r>
    </w:p>
    <w:p w14:paraId="6DEC8B8B" w14:textId="77777777" w:rsidR="00FD0189" w:rsidRDefault="00000000">
      <w:pPr>
        <w:pStyle w:val="Bibliography"/>
      </w:pPr>
      <w:bookmarkStart w:id="237" w:name="ref-moore1984a"/>
      <w:bookmarkEnd w:id="236"/>
      <w:r>
        <w:t xml:space="preserve">Moore, J. (1984). Altered behavioral responses in intermediate hosts: An acanthocephalan parasite strategy. </w:t>
      </w:r>
      <w:r>
        <w:rPr>
          <w:i/>
          <w:iCs/>
        </w:rPr>
        <w:t>American Naturalist</w:t>
      </w:r>
      <w:r>
        <w:t>, 123, 572–577.</w:t>
      </w:r>
    </w:p>
    <w:p w14:paraId="26B241DE" w14:textId="77777777" w:rsidR="00FD0189" w:rsidRDefault="00000000">
      <w:pPr>
        <w:pStyle w:val="Bibliography"/>
      </w:pPr>
      <w:bookmarkStart w:id="238" w:name="ref-moore1971a"/>
      <w:bookmarkEnd w:id="237"/>
      <w:r>
        <w:t xml:space="preserve">Moore, W.S. &amp; McKay, F.E. (1971). Coexistence in unisexual-bisexual species complexes of </w:t>
      </w:r>
      <w:r>
        <w:rPr>
          <w:i/>
          <w:iCs/>
        </w:rPr>
        <w:t>Poeciliopsis</w:t>
      </w:r>
      <w:r>
        <w:t xml:space="preserve"> (Pisces: Poeciliidae). </w:t>
      </w:r>
      <w:r>
        <w:rPr>
          <w:i/>
          <w:iCs/>
        </w:rPr>
        <w:t>Ecology</w:t>
      </w:r>
      <w:r>
        <w:t>, 52, 791–799.</w:t>
      </w:r>
    </w:p>
    <w:p w14:paraId="1F95AA8E" w14:textId="77777777" w:rsidR="00FD0189" w:rsidRDefault="00000000">
      <w:pPr>
        <w:pStyle w:val="Bibliography"/>
      </w:pPr>
      <w:bookmarkStart w:id="239" w:name="ref-muller1964a"/>
      <w:bookmarkEnd w:id="238"/>
      <w:r>
        <w:t xml:space="preserve">Muller, H.J. (1964). The relation of recombination to mutational advance. </w:t>
      </w:r>
      <w:r>
        <w:rPr>
          <w:i/>
          <w:iCs/>
        </w:rPr>
        <w:t>Mutation Research</w:t>
      </w:r>
      <w:r>
        <w:t>, 1, 2–9.</w:t>
      </w:r>
    </w:p>
    <w:p w14:paraId="4BBCD94F" w14:textId="77777777" w:rsidR="00FD0189" w:rsidRDefault="00000000">
      <w:pPr>
        <w:pStyle w:val="Bibliography"/>
      </w:pPr>
      <w:bookmarkStart w:id="240" w:name="ref-negovetic2001a"/>
      <w:bookmarkEnd w:id="239"/>
      <w:r>
        <w:t xml:space="preserve">Negovetic, S. &amp; Jokela, J. (2001). Life history variation, phenotypic plasticity and maintenance of subpopulation structure in a freshwater snail. </w:t>
      </w:r>
      <w:r>
        <w:rPr>
          <w:i/>
          <w:iCs/>
        </w:rPr>
        <w:t>Ecology</w:t>
      </w:r>
      <w:r>
        <w:t>, 82, 2805–2815.</w:t>
      </w:r>
    </w:p>
    <w:p w14:paraId="26E98FBB" w14:textId="77777777" w:rsidR="00FD0189" w:rsidRDefault="00000000">
      <w:pPr>
        <w:pStyle w:val="Bibliography"/>
      </w:pPr>
      <w:bookmarkStart w:id="241" w:name="ref-neiman2005a"/>
      <w:bookmarkEnd w:id="240"/>
      <w:r>
        <w:t xml:space="preserve">Neiman, M., Jokela, J. &amp; Lively, C.M. (2005). Variation in asexual lineage age in </w:t>
      </w:r>
      <w:r>
        <w:rPr>
          <w:i/>
          <w:iCs/>
        </w:rPr>
        <w:t>Potamopyrgus antipodarum</w:t>
      </w:r>
      <w:r>
        <w:t xml:space="preserve">, a New Zealand snail. </w:t>
      </w:r>
      <w:r>
        <w:rPr>
          <w:i/>
          <w:iCs/>
        </w:rPr>
        <w:t>Evolution</w:t>
      </w:r>
      <w:r>
        <w:t>, 59, 1945–1952.</w:t>
      </w:r>
    </w:p>
    <w:p w14:paraId="693BBF37" w14:textId="77777777" w:rsidR="00FD0189" w:rsidRDefault="00000000">
      <w:pPr>
        <w:pStyle w:val="Bibliography"/>
      </w:pPr>
      <w:bookmarkStart w:id="242" w:name="ref-oka1970a"/>
      <w:bookmarkEnd w:id="241"/>
      <w:r>
        <w:t xml:space="preserve">Oka, H. (1970). Colony specificity in compound ascidians: The genetic control of fusibility. In: </w:t>
      </w:r>
      <w:r>
        <w:rPr>
          <w:i/>
          <w:iCs/>
        </w:rPr>
        <w:t>Profiles of Japanese science and scientists</w:t>
      </w:r>
      <w:r>
        <w:t xml:space="preserve"> (ed. Yukawa, H.). Kodansha, Tokyo, pp. 196–206.</w:t>
      </w:r>
    </w:p>
    <w:p w14:paraId="3423895B" w14:textId="77777777" w:rsidR="00FD0189" w:rsidRDefault="00000000">
      <w:pPr>
        <w:pStyle w:val="Bibliography"/>
      </w:pPr>
      <w:bookmarkStart w:id="243" w:name="ref-otto2021a"/>
      <w:bookmarkEnd w:id="242"/>
      <w:r>
        <w:t xml:space="preserve">Otto, S.P. (2021). Selective interference and the evolution of sex. </w:t>
      </w:r>
      <w:r>
        <w:rPr>
          <w:i/>
          <w:iCs/>
        </w:rPr>
        <w:t>Journal of Heredity</w:t>
      </w:r>
      <w:r>
        <w:t>, 112, 9–18.</w:t>
      </w:r>
    </w:p>
    <w:p w14:paraId="525942DF" w14:textId="77777777" w:rsidR="00FD0189" w:rsidRDefault="00000000">
      <w:pPr>
        <w:pStyle w:val="Bibliography"/>
      </w:pPr>
      <w:bookmarkStart w:id="244" w:name="ref-parker1985a"/>
      <w:bookmarkEnd w:id="243"/>
      <w:r>
        <w:lastRenderedPageBreak/>
        <w:t xml:space="preserve">Parker, M.A. (1985). Local population differentiation for compatibility in an annual legume and its host-specific fungal pathogen. </w:t>
      </w:r>
      <w:r>
        <w:rPr>
          <w:i/>
          <w:iCs/>
        </w:rPr>
        <w:t>Evolution</w:t>
      </w:r>
      <w:r>
        <w:t>, 39, 713–723.</w:t>
      </w:r>
    </w:p>
    <w:p w14:paraId="4567448C" w14:textId="77777777" w:rsidR="00FD0189" w:rsidRDefault="00000000">
      <w:pPr>
        <w:pStyle w:val="Bibliography"/>
      </w:pPr>
      <w:bookmarkStart w:id="245" w:name="ref-peters1999a"/>
      <w:bookmarkEnd w:id="244"/>
      <w:r>
        <w:t xml:space="preserve">Peters, A.D. &amp; Lively, C.M. (1999). The Red Queen and fluctuating epistasis: A population genetic analysis of antagonistic coevolution. </w:t>
      </w:r>
      <w:r>
        <w:rPr>
          <w:i/>
          <w:iCs/>
        </w:rPr>
        <w:t>American Naturalist</w:t>
      </w:r>
      <w:r>
        <w:t>, 154, 393–405.</w:t>
      </w:r>
    </w:p>
    <w:p w14:paraId="25BD790A" w14:textId="77777777" w:rsidR="00FD0189" w:rsidRDefault="00000000">
      <w:pPr>
        <w:pStyle w:val="Bibliography"/>
      </w:pPr>
      <w:bookmarkStart w:id="246" w:name="ref-peters2007a"/>
      <w:bookmarkEnd w:id="245"/>
      <w:r>
        <w:t xml:space="preserve">Peters, A.D. &amp; Lively, C.M. (2007). Short- and long-term benefits and detriments to recombination under antagonistic coevolution. </w:t>
      </w:r>
      <w:r>
        <w:rPr>
          <w:i/>
          <w:iCs/>
        </w:rPr>
        <w:t>Journal of Evolutionary Biology</w:t>
      </w:r>
      <w:r>
        <w:t>, 20, 1206–1217.</w:t>
      </w:r>
    </w:p>
    <w:p w14:paraId="70D947BA" w14:textId="77777777" w:rsidR="00FD0189" w:rsidRDefault="00000000">
      <w:pPr>
        <w:pStyle w:val="Bibliography"/>
      </w:pPr>
      <w:bookmarkStart w:id="247" w:name="ref-philippi1989a"/>
      <w:bookmarkEnd w:id="246"/>
      <w:r>
        <w:t xml:space="preserve">Philippi, T. &amp; Seger, J. (1989). Hedging one’s evolutionary bets, revisited. </w:t>
      </w:r>
      <w:r>
        <w:rPr>
          <w:i/>
          <w:iCs/>
        </w:rPr>
        <w:t>Trends in Ecology &amp; Evolution</w:t>
      </w:r>
      <w:r>
        <w:t>, 4, 41–44.</w:t>
      </w:r>
    </w:p>
    <w:p w14:paraId="5AA19544" w14:textId="77777777" w:rsidR="00FD0189" w:rsidRDefault="00000000">
      <w:pPr>
        <w:pStyle w:val="Bibliography"/>
      </w:pPr>
      <w:bookmarkStart w:id="248" w:name="ref-phillips1990a"/>
      <w:bookmarkEnd w:id="247"/>
      <w:r>
        <w:t xml:space="preserve">Phillips, N.R. &amp; Lambert, D.M. (1990). </w:t>
      </w:r>
      <w:hyperlink r:id="rId95">
        <w:r>
          <w:rPr>
            <w:rStyle w:val="Hyperlink"/>
          </w:rPr>
          <w:t xml:space="preserve">A cladistic analysis of species of the molluscan genus </w:t>
        </w:r>
        <w:r>
          <w:rPr>
            <w:rStyle w:val="Hyperlink"/>
            <w:i/>
            <w:iCs/>
          </w:rPr>
          <w:t>Potamopyrgus</w:t>
        </w:r>
        <w:r>
          <w:rPr>
            <w:rStyle w:val="Hyperlink"/>
          </w:rPr>
          <w:t xml:space="preserve"> based on allozyme data</w:t>
        </w:r>
      </w:hyperlink>
      <w:r>
        <w:t xml:space="preserve">. </w:t>
      </w:r>
      <w:r>
        <w:rPr>
          <w:i/>
          <w:iCs/>
        </w:rPr>
        <w:t>New Zealand Journal of Zoology</w:t>
      </w:r>
      <w:r>
        <w:t>, 17, 257–263.</w:t>
      </w:r>
    </w:p>
    <w:p w14:paraId="03E844B9" w14:textId="77777777" w:rsidR="00FD0189" w:rsidRDefault="00000000">
      <w:pPr>
        <w:pStyle w:val="Bibliography"/>
      </w:pPr>
      <w:bookmarkStart w:id="249" w:name="ref-platt1964a"/>
      <w:bookmarkEnd w:id="248"/>
      <w:r>
        <w:t xml:space="preserve">Platt, J.R. (1964). Strong inference. </w:t>
      </w:r>
      <w:r>
        <w:rPr>
          <w:i/>
          <w:iCs/>
        </w:rPr>
        <w:t>Science</w:t>
      </w:r>
      <w:r>
        <w:t>, 146, 347–353.</w:t>
      </w:r>
    </w:p>
    <w:p w14:paraId="00A119B8" w14:textId="77777777" w:rsidR="00FD0189" w:rsidRDefault="00000000">
      <w:pPr>
        <w:pStyle w:val="Bibliography"/>
      </w:pPr>
      <w:bookmarkStart w:id="250" w:name="ref-popper1959a"/>
      <w:bookmarkEnd w:id="249"/>
      <w:r>
        <w:t xml:space="preserve">Popper, K. (1959). </w:t>
      </w:r>
      <w:r>
        <w:rPr>
          <w:i/>
          <w:iCs/>
        </w:rPr>
        <w:t>The logic of scientific discovery</w:t>
      </w:r>
      <w:r>
        <w:t>. Hutchinson &amp; Company, London.</w:t>
      </w:r>
    </w:p>
    <w:p w14:paraId="3F645746" w14:textId="77777777" w:rsidR="00FD0189" w:rsidRDefault="00000000">
      <w:pPr>
        <w:pStyle w:val="Bibliography"/>
      </w:pPr>
      <w:bookmarkStart w:id="251" w:name="ref-prout1968a"/>
      <w:bookmarkEnd w:id="250"/>
      <w:r>
        <w:t xml:space="preserve">Prout, T. (1968). Sufficient conditions for multiple niche polymorphism. </w:t>
      </w:r>
      <w:r>
        <w:rPr>
          <w:i/>
          <w:iCs/>
        </w:rPr>
        <w:t>The American Naturalist</w:t>
      </w:r>
      <w:r>
        <w:t>, 102, 493–496.</w:t>
      </w:r>
    </w:p>
    <w:p w14:paraId="0774F173" w14:textId="77777777" w:rsidR="00FD0189" w:rsidRDefault="00000000">
      <w:pPr>
        <w:pStyle w:val="Bibliography"/>
      </w:pPr>
      <w:bookmarkStart w:id="252" w:name="ref-roughgarden1972a"/>
      <w:bookmarkEnd w:id="251"/>
      <w:r>
        <w:t xml:space="preserve">Roughgarden, J. (1972). Evolution of niche width. </w:t>
      </w:r>
      <w:r>
        <w:rPr>
          <w:i/>
          <w:iCs/>
        </w:rPr>
        <w:t>American Naturalist</w:t>
      </w:r>
      <w:r>
        <w:t>, 106, 683–718.</w:t>
      </w:r>
    </w:p>
    <w:p w14:paraId="2C5F7FA0" w14:textId="77777777" w:rsidR="00FD0189" w:rsidRDefault="00000000">
      <w:pPr>
        <w:pStyle w:val="Bibliography"/>
      </w:pPr>
      <w:bookmarkStart w:id="253" w:name="ref-salathe2008a"/>
      <w:bookmarkEnd w:id="252"/>
      <w:r>
        <w:t xml:space="preserve">Salathé, M., Kouyos, R.D., Regoes, R.R. &amp; Bonhoeffer, S. (2008). Rapid parasite adaptation drives selection for high recombination rates. </w:t>
      </w:r>
      <w:r>
        <w:rPr>
          <w:i/>
          <w:iCs/>
        </w:rPr>
        <w:t>Evolution</w:t>
      </w:r>
      <w:r>
        <w:t>, 62, 295–300.</w:t>
      </w:r>
    </w:p>
    <w:p w14:paraId="66AFF577" w14:textId="77777777" w:rsidR="00FD0189" w:rsidRDefault="00000000">
      <w:pPr>
        <w:pStyle w:val="Bibliography"/>
      </w:pPr>
      <w:bookmarkStart w:id="254" w:name="ref-Schenck1986a"/>
      <w:bookmarkEnd w:id="253"/>
      <w:r>
        <w:t xml:space="preserve">Schenck, R.A. &amp; Vrijenhoek, R.C. (1986). </w:t>
      </w:r>
      <w:hyperlink r:id="rId96">
        <w:r>
          <w:rPr>
            <w:rStyle w:val="Hyperlink"/>
          </w:rPr>
          <w:t xml:space="preserve">Spatial and temporal factors affecting coexistence among sexual and clonal forms of </w:t>
        </w:r>
        <w:r>
          <w:rPr>
            <w:rStyle w:val="Hyperlink"/>
            <w:i/>
            <w:iCs/>
          </w:rPr>
          <w:t>Poeciliopsis</w:t>
        </w:r>
      </w:hyperlink>
      <w:r>
        <w:t xml:space="preserve">. </w:t>
      </w:r>
      <w:r>
        <w:rPr>
          <w:i/>
          <w:iCs/>
        </w:rPr>
        <w:t>Evolution</w:t>
      </w:r>
      <w:r>
        <w:t>, 40, 1060–1070.</w:t>
      </w:r>
    </w:p>
    <w:p w14:paraId="0768B5FE" w14:textId="77777777" w:rsidR="00FD0189" w:rsidRDefault="00000000">
      <w:pPr>
        <w:pStyle w:val="Bibliography"/>
      </w:pPr>
      <w:bookmarkStart w:id="255" w:name="ref-schmid-hempel2002a"/>
      <w:bookmarkEnd w:id="254"/>
      <w:r>
        <w:t xml:space="preserve">Schmid-Hempel, P. &amp; Jokela, J. (2002). Socially structured populations and evolution of recombination under antagonistic coevolution. </w:t>
      </w:r>
      <w:r>
        <w:rPr>
          <w:i/>
          <w:iCs/>
        </w:rPr>
        <w:t>American Naturalist</w:t>
      </w:r>
      <w:r>
        <w:t>, 160, 403–408.</w:t>
      </w:r>
    </w:p>
    <w:p w14:paraId="571A89FE" w14:textId="77777777" w:rsidR="00FD0189" w:rsidRDefault="00000000">
      <w:pPr>
        <w:pStyle w:val="Bibliography"/>
      </w:pPr>
      <w:bookmarkStart w:id="256" w:name="ref-schultz1969a"/>
      <w:bookmarkEnd w:id="255"/>
      <w:r>
        <w:t xml:space="preserve">Schultz, R.J. (1969). Hybridization, unisexuality, and polyploidy in the Teleost </w:t>
      </w:r>
      <w:r>
        <w:rPr>
          <w:i/>
          <w:iCs/>
        </w:rPr>
        <w:t>Poeciliopsis</w:t>
      </w:r>
      <w:r>
        <w:t xml:space="preserve"> (Poeciliidae) and other vertebrates. </w:t>
      </w:r>
      <w:r>
        <w:rPr>
          <w:i/>
          <w:iCs/>
        </w:rPr>
        <w:t>American Naturalist</w:t>
      </w:r>
      <w:r>
        <w:t>, 103, 605–619.</w:t>
      </w:r>
    </w:p>
    <w:p w14:paraId="302CC25F" w14:textId="77777777" w:rsidR="00FD0189" w:rsidRDefault="00000000">
      <w:pPr>
        <w:pStyle w:val="Bibliography"/>
      </w:pPr>
      <w:bookmarkStart w:id="257" w:name="ref-siebold1856a"/>
      <w:bookmarkEnd w:id="256"/>
      <w:r>
        <w:t xml:space="preserve">Siebold, C.T.E. von. (1856). </w:t>
      </w:r>
      <w:r>
        <w:rPr>
          <w:i/>
          <w:iCs/>
        </w:rPr>
        <w:t>Wahre parthenogenesis bei schmetterlingen und bienen. Ein beitrag zur fortpflanzungsgeschichte der thiere</w:t>
      </w:r>
      <w:r>
        <w:t>. William Engelmann, Leipzig.</w:t>
      </w:r>
    </w:p>
    <w:p w14:paraId="40297BF8" w14:textId="77777777" w:rsidR="00FD0189" w:rsidRDefault="00000000">
      <w:pPr>
        <w:pStyle w:val="Bibliography"/>
      </w:pPr>
      <w:bookmarkStart w:id="258" w:name="ref-smith2003a"/>
      <w:bookmarkEnd w:id="257"/>
      <w:r>
        <w:t xml:space="preserve">Smith, S. (n.d.). </w:t>
      </w:r>
      <w:hyperlink r:id="rId97">
        <w:r>
          <w:rPr>
            <w:rStyle w:val="Hyperlink"/>
          </w:rPr>
          <w:t>The mathematician Lewis Carroll</w:t>
        </w:r>
      </w:hyperlink>
      <w:r>
        <w:t>.</w:t>
      </w:r>
    </w:p>
    <w:p w14:paraId="1285C18C" w14:textId="77777777" w:rsidR="00FD0189" w:rsidRDefault="00000000">
      <w:pPr>
        <w:pStyle w:val="Bibliography"/>
      </w:pPr>
      <w:bookmarkStart w:id="259" w:name="ref-sobels1964a"/>
      <w:bookmarkEnd w:id="258"/>
      <w:r>
        <w:t xml:space="preserve">Sobels, F.H. (1964). Preface. </w:t>
      </w:r>
      <w:r>
        <w:rPr>
          <w:i/>
          <w:iCs/>
        </w:rPr>
        <w:t>Mutation Research</w:t>
      </w:r>
      <w:r>
        <w:t>, 1, 1.</w:t>
      </w:r>
    </w:p>
    <w:p w14:paraId="305ED347" w14:textId="77777777" w:rsidR="00FD0189" w:rsidRDefault="00000000">
      <w:pPr>
        <w:pStyle w:val="Bibliography"/>
      </w:pPr>
      <w:bookmarkStart w:id="260" w:name="ref-soper2013a"/>
      <w:bookmarkEnd w:id="259"/>
      <w:r>
        <w:t xml:space="preserve">Soper, D.M., Neiman, M., Savytskyy, O.P., Zolan, M.E. &amp; Lively, C.M. (2013). Spermatozoa production by triploid males in the New Zealand freshwater snail </w:t>
      </w:r>
      <w:r>
        <w:rPr>
          <w:i/>
          <w:iCs/>
        </w:rPr>
        <w:t>Potamopyrgus antipodarum</w:t>
      </w:r>
      <w:r>
        <w:t xml:space="preserve">. </w:t>
      </w:r>
      <w:r>
        <w:rPr>
          <w:i/>
          <w:iCs/>
        </w:rPr>
        <w:t>Biological Journal of the Linnean Society</w:t>
      </w:r>
      <w:r>
        <w:t>, 110, 227–234.</w:t>
      </w:r>
    </w:p>
    <w:p w14:paraId="40DC2635" w14:textId="77777777" w:rsidR="00FD0189" w:rsidRDefault="00000000">
      <w:pPr>
        <w:pStyle w:val="Bibliography"/>
      </w:pPr>
      <w:bookmarkStart w:id="261" w:name="ref-stearns2000a"/>
      <w:bookmarkEnd w:id="260"/>
      <w:r>
        <w:t xml:space="preserve">Stearns, S.C. (2000). Daniel Bernoulli (1738): Evolution and economics under risk. </w:t>
      </w:r>
      <w:r>
        <w:rPr>
          <w:i/>
          <w:iCs/>
        </w:rPr>
        <w:t>Journal of Biosciences</w:t>
      </w:r>
      <w:r>
        <w:t>, 25, 221–228.</w:t>
      </w:r>
    </w:p>
    <w:p w14:paraId="58B289CE" w14:textId="77777777" w:rsidR="00FD0189" w:rsidRDefault="00000000">
      <w:pPr>
        <w:pStyle w:val="Bibliography"/>
      </w:pPr>
      <w:bookmarkStart w:id="262" w:name="ref-stolley1991a"/>
      <w:bookmarkEnd w:id="261"/>
      <w:r>
        <w:lastRenderedPageBreak/>
        <w:t xml:space="preserve">Stolley, P.D. (1991). When genius errs: R. A. Fisher and the lung cancer controversy. </w:t>
      </w:r>
      <w:r>
        <w:rPr>
          <w:i/>
          <w:iCs/>
        </w:rPr>
        <w:t>American Journal of Epidemiology</w:t>
      </w:r>
      <w:r>
        <w:t>, 133, 416–425.</w:t>
      </w:r>
    </w:p>
    <w:p w14:paraId="545D99C6" w14:textId="77777777" w:rsidR="00FD0189" w:rsidRDefault="00000000">
      <w:pPr>
        <w:pStyle w:val="Bibliography"/>
      </w:pPr>
      <w:bookmarkStart w:id="263" w:name="ref-tomlinson1966a"/>
      <w:bookmarkEnd w:id="262"/>
      <w:r>
        <w:t xml:space="preserve">Tomlinson, J. (1966). The advantages of hermaphroditism and parthenogenesis. </w:t>
      </w:r>
      <w:r>
        <w:rPr>
          <w:i/>
          <w:iCs/>
        </w:rPr>
        <w:t>Journal of Theoretical Biology</w:t>
      </w:r>
      <w:r>
        <w:t>, 11, 54–58.</w:t>
      </w:r>
    </w:p>
    <w:p w14:paraId="25E11706" w14:textId="77777777" w:rsidR="00FD0189" w:rsidRDefault="00000000">
      <w:pPr>
        <w:pStyle w:val="Bibliography"/>
      </w:pPr>
      <w:bookmarkStart w:id="264" w:name="ref-valen1973a"/>
      <w:bookmarkEnd w:id="263"/>
      <w:r>
        <w:t xml:space="preserve">Van Valen, L. (1973). A new evolutionary law. </w:t>
      </w:r>
      <w:r>
        <w:rPr>
          <w:i/>
          <w:iCs/>
        </w:rPr>
        <w:t>Evolutionary Theory</w:t>
      </w:r>
      <w:r>
        <w:t>, 1, 1–30.</w:t>
      </w:r>
    </w:p>
    <w:p w14:paraId="473D0FB4" w14:textId="77777777" w:rsidR="00FD0189" w:rsidRDefault="00000000">
      <w:pPr>
        <w:pStyle w:val="Bibliography"/>
      </w:pPr>
      <w:bookmarkStart w:id="265" w:name="ref-vrijenhoek1978a"/>
      <w:bookmarkEnd w:id="264"/>
      <w:r>
        <w:t xml:space="preserve">Vrijenhoek, R.C. (1978). Coexistence of clones in a heterogeneous environment. </w:t>
      </w:r>
      <w:r>
        <w:rPr>
          <w:i/>
          <w:iCs/>
        </w:rPr>
        <w:t>Science</w:t>
      </w:r>
      <w:r>
        <w:t>, 199, 549–552.</w:t>
      </w:r>
    </w:p>
    <w:p w14:paraId="0C905405" w14:textId="77777777" w:rsidR="00FD0189" w:rsidRDefault="00000000">
      <w:pPr>
        <w:pStyle w:val="Bibliography"/>
      </w:pPr>
      <w:bookmarkStart w:id="266" w:name="ref-vrijenhoek1979a"/>
      <w:bookmarkEnd w:id="265"/>
      <w:r>
        <w:t xml:space="preserve">Vrijenhoek, R.C. (1979). Factors affecting clonal diversity and coexistence. </w:t>
      </w:r>
      <w:r>
        <w:rPr>
          <w:i/>
          <w:iCs/>
        </w:rPr>
        <w:t>American Zoologist</w:t>
      </w:r>
      <w:r>
        <w:t>, 19, 787–797.</w:t>
      </w:r>
    </w:p>
    <w:p w14:paraId="17F3FF50" w14:textId="77777777" w:rsidR="00FD0189" w:rsidRDefault="00000000">
      <w:pPr>
        <w:pStyle w:val="Bibliography"/>
      </w:pPr>
      <w:bookmarkStart w:id="267" w:name="ref-vrijenhoek1998a"/>
      <w:bookmarkEnd w:id="266"/>
      <w:r>
        <w:t xml:space="preserve">Vrijenhoek, R.C. (1998). Animal clones and diversity. </w:t>
      </w:r>
      <w:r>
        <w:rPr>
          <w:i/>
          <w:iCs/>
        </w:rPr>
        <w:t>Bioscience</w:t>
      </w:r>
      <w:r>
        <w:t>, 48, 617–628.</w:t>
      </w:r>
    </w:p>
    <w:p w14:paraId="06965C15" w14:textId="77777777" w:rsidR="00FD0189" w:rsidRDefault="00000000">
      <w:pPr>
        <w:pStyle w:val="Bibliography"/>
      </w:pPr>
      <w:bookmarkStart w:id="268" w:name="ref-vrijenhoek1982a"/>
      <w:bookmarkEnd w:id="267"/>
      <w:r>
        <w:t xml:space="preserve">Vrijenhoek, R.C. &amp; Lerman, S. (1982). Heterozygosity and developmental stability under sexual and asexual breeding systems. </w:t>
      </w:r>
      <w:r>
        <w:rPr>
          <w:i/>
          <w:iCs/>
        </w:rPr>
        <w:t>Evolution</w:t>
      </w:r>
      <w:r>
        <w:t>, 36, 768–776.</w:t>
      </w:r>
    </w:p>
    <w:p w14:paraId="51575810" w14:textId="77777777" w:rsidR="00FD0189" w:rsidRDefault="00000000">
      <w:pPr>
        <w:pStyle w:val="Bibliography"/>
      </w:pPr>
      <w:bookmarkStart w:id="269" w:name="ref-vrijenhoek2009a"/>
      <w:bookmarkEnd w:id="268"/>
      <w:r>
        <w:t xml:space="preserve">Vrijenhoek, R.C. &amp; Parker, E.D. (2009). Geographical parthenogenesis: General purpose genotypes and frozen niche variation. In: </w:t>
      </w:r>
      <w:r>
        <w:rPr>
          <w:i/>
          <w:iCs/>
        </w:rPr>
        <w:t>Lost sex: The evolutionary biology of parthenogenesis</w:t>
      </w:r>
      <w:r>
        <w:t xml:space="preserve"> (eds. Schön, I., Martens, K. &amp; Dijk, P.). Springer, London, pp. 99–131.</w:t>
      </w:r>
    </w:p>
    <w:p w14:paraId="1EDA2DC3" w14:textId="77777777" w:rsidR="00FD0189" w:rsidRDefault="00000000">
      <w:pPr>
        <w:pStyle w:val="Bibliography"/>
      </w:pPr>
      <w:bookmarkStart w:id="270" w:name="ref-wallace1975a"/>
      <w:bookmarkEnd w:id="269"/>
      <w:r>
        <w:t xml:space="preserve">Wallace, B. (1975). Hard and soft selection revisited. </w:t>
      </w:r>
      <w:r>
        <w:rPr>
          <w:i/>
          <w:iCs/>
        </w:rPr>
        <w:t>Evolution</w:t>
      </w:r>
      <w:r>
        <w:t>, 29, 465–473.</w:t>
      </w:r>
    </w:p>
    <w:p w14:paraId="331A6469" w14:textId="77777777" w:rsidR="00FD0189" w:rsidRDefault="00000000">
      <w:pPr>
        <w:pStyle w:val="Bibliography"/>
      </w:pPr>
      <w:bookmarkStart w:id="271" w:name="ref-weeks1996a"/>
      <w:bookmarkEnd w:id="270"/>
      <w:r>
        <w:t xml:space="preserve">Weeks, S.C. (1996). </w:t>
      </w:r>
      <w:hyperlink r:id="rId98">
        <w:r>
          <w:rPr>
            <w:rStyle w:val="Hyperlink"/>
          </w:rPr>
          <w:t xml:space="preserve">A reevaluation of the Red Queen model for the maintenance of sex in a clonal-sexual fish complex (Poeciliidae: </w:t>
        </w:r>
        <w:r>
          <w:rPr>
            <w:rStyle w:val="Hyperlink"/>
            <w:i/>
            <w:iCs/>
          </w:rPr>
          <w:t>Poeciliopsis</w:t>
        </w:r>
        <w:r>
          <w:rPr>
            <w:rStyle w:val="Hyperlink"/>
          </w:rPr>
          <w:t>)</w:t>
        </w:r>
      </w:hyperlink>
      <w:r>
        <w:t xml:space="preserve">. </w:t>
      </w:r>
      <w:r>
        <w:rPr>
          <w:i/>
          <w:iCs/>
        </w:rPr>
        <w:t>Canadian Journal of Fisheries and Aquatic Sciences</w:t>
      </w:r>
      <w:r>
        <w:t>, 53, 1157–1164.</w:t>
      </w:r>
    </w:p>
    <w:p w14:paraId="168AF06E" w14:textId="77777777" w:rsidR="00FD0189" w:rsidRDefault="00000000">
      <w:pPr>
        <w:pStyle w:val="Bibliography"/>
      </w:pPr>
      <w:bookmarkStart w:id="272" w:name="ref-west1999a"/>
      <w:bookmarkEnd w:id="271"/>
      <w:r>
        <w:t xml:space="preserve">West, S.A., Lively, C.M. &amp; Read, A.F. (1999). A pluralist approach to sex and recombination. </w:t>
      </w:r>
      <w:r>
        <w:rPr>
          <w:i/>
          <w:iCs/>
        </w:rPr>
        <w:t>Journal of Evolutionary Biology</w:t>
      </w:r>
      <w:r>
        <w:t>, 12, 1003–1012.</w:t>
      </w:r>
    </w:p>
    <w:p w14:paraId="6B366F18" w14:textId="77777777" w:rsidR="00FD0189" w:rsidRDefault="00000000">
      <w:pPr>
        <w:pStyle w:val="Bibliography"/>
      </w:pPr>
      <w:bookmarkStart w:id="273" w:name="ref-whitton2008a"/>
      <w:bookmarkEnd w:id="272"/>
      <w:r>
        <w:t xml:space="preserve">Whitton, J., Sears, C., Baack, E. &amp; Otto, S. (2008). The dynamic nature of apomixis in the angiosperms. </w:t>
      </w:r>
      <w:r>
        <w:rPr>
          <w:i/>
          <w:iCs/>
        </w:rPr>
        <w:t>International Journal of Plant Sciences</w:t>
      </w:r>
      <w:r>
        <w:t>, 169, 169–182.</w:t>
      </w:r>
    </w:p>
    <w:p w14:paraId="2250E255" w14:textId="77777777" w:rsidR="00FD0189" w:rsidRDefault="00000000">
      <w:pPr>
        <w:pStyle w:val="Bibliography"/>
      </w:pPr>
      <w:bookmarkStart w:id="274" w:name="ref-williams1975a"/>
      <w:bookmarkEnd w:id="273"/>
      <w:r>
        <w:t xml:space="preserve">Williams, G.C. (1975). </w:t>
      </w:r>
      <w:r>
        <w:rPr>
          <w:i/>
          <w:iCs/>
        </w:rPr>
        <w:t>Sex and evolution</w:t>
      </w:r>
      <w:r>
        <w:t>. Princeton University Press.</w:t>
      </w:r>
    </w:p>
    <w:p w14:paraId="14079F0A" w14:textId="77777777" w:rsidR="00FD0189" w:rsidRDefault="00000000">
      <w:pPr>
        <w:pStyle w:val="Bibliography"/>
      </w:pPr>
      <w:bookmarkStart w:id="275" w:name="ref-winterbourn1970a"/>
      <w:bookmarkEnd w:id="274"/>
      <w:r>
        <w:t xml:space="preserve">Winterbourn, M.J. (1970). The New Zealand species of </w:t>
      </w:r>
      <w:r>
        <w:rPr>
          <w:i/>
          <w:iCs/>
        </w:rPr>
        <w:t>Potamopyrgus</w:t>
      </w:r>
      <w:r>
        <w:t xml:space="preserve"> (Gastropoda: Hydrobiidae). </w:t>
      </w:r>
      <w:r>
        <w:rPr>
          <w:i/>
          <w:iCs/>
        </w:rPr>
        <w:t>Malacologia</w:t>
      </w:r>
      <w:r>
        <w:t>, 10, 283–321.</w:t>
      </w:r>
    </w:p>
    <w:p w14:paraId="036CF30A" w14:textId="77777777" w:rsidR="00FD0189" w:rsidRDefault="00000000">
      <w:pPr>
        <w:pStyle w:val="Bibliography"/>
      </w:pPr>
      <w:bookmarkStart w:id="276" w:name="ref-winterbourn1973a"/>
      <w:bookmarkEnd w:id="275"/>
      <w:r>
        <w:t xml:space="preserve">Winterbourn, M.J. (1973). Larval Trematoda parasitising the New Zealand species of </w:t>
      </w:r>
      <w:r>
        <w:rPr>
          <w:i/>
          <w:iCs/>
        </w:rPr>
        <w:t>Potamopyrgus</w:t>
      </w:r>
      <w:r>
        <w:t xml:space="preserve"> (Gastropoda: Hydrobiidae). </w:t>
      </w:r>
      <w:r>
        <w:rPr>
          <w:i/>
          <w:iCs/>
        </w:rPr>
        <w:t>Mauri Ora</w:t>
      </w:r>
      <w:r>
        <w:t>, 2, 17–30.</w:t>
      </w:r>
    </w:p>
    <w:p w14:paraId="05B48726" w14:textId="77777777" w:rsidR="00FD0189" w:rsidRDefault="00000000">
      <w:pPr>
        <w:pStyle w:val="Bibliography"/>
      </w:pPr>
      <w:bookmarkStart w:id="277" w:name="ref-winterbourn1981a"/>
      <w:bookmarkEnd w:id="276"/>
      <w:r>
        <w:t xml:space="preserve">Winterbourn, M.J., Rounick, J.S. &amp; Cowie, B. (1981). Are New Zealand stream ecosystems really different? </w:t>
      </w:r>
      <w:r>
        <w:rPr>
          <w:i/>
          <w:iCs/>
        </w:rPr>
        <w:t>New Zealand Journal of Marine and Freshwater Research</w:t>
      </w:r>
      <w:r>
        <w:t>, 15, 321–328.</w:t>
      </w:r>
      <w:bookmarkEnd w:id="126"/>
      <w:bookmarkEnd w:id="129"/>
      <w:bookmarkEnd w:id="277"/>
    </w:p>
    <w:sectPr w:rsidR="00FD0189">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C577A7" w14:textId="77777777" w:rsidR="00142657" w:rsidRDefault="00142657">
      <w:pPr>
        <w:spacing w:after="0"/>
      </w:pPr>
      <w:r>
        <w:separator/>
      </w:r>
    </w:p>
  </w:endnote>
  <w:endnote w:type="continuationSeparator" w:id="0">
    <w:p w14:paraId="399E6EB9" w14:textId="77777777" w:rsidR="00142657" w:rsidRDefault="00142657">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ETBembo">
    <w:panose1 w:val="02000503000000000000"/>
    <w:charset w:val="00"/>
    <w:family w:val="auto"/>
    <w:pitch w:val="variable"/>
    <w:sig w:usb0="800000AF" w:usb1="4000004A" w:usb2="00000000" w:usb3="00000000" w:csb0="00000001" w:csb1="00000000"/>
  </w:font>
  <w:font w:name="Calibri">
    <w:panose1 w:val="020F05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LM Roman 10">
    <w:panose1 w:val="00000500000000000000"/>
    <w:charset w:val="00"/>
    <w:family w:val="modern"/>
    <w:notTrueType/>
    <w:pitch w:val="variable"/>
    <w:sig w:usb0="20000007" w:usb1="00000000" w:usb2="00000000" w:usb3="00000000" w:csb0="00000193" w:csb1="00000000"/>
  </w:font>
  <w:font w:name="Latin Modern Math">
    <w:panose1 w:val="02000503000000000000"/>
    <w:charset w:val="00"/>
    <w:family w:val="modern"/>
    <w:notTrueType/>
    <w:pitch w:val="variable"/>
    <w:sig w:usb0="A00000EF" w:usb1="4201F9EE" w:usb2="02000000" w:usb3="00000000" w:csb0="00000093"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91260F" w14:textId="77777777" w:rsidR="00142657" w:rsidRDefault="00142657">
      <w:r>
        <w:separator/>
      </w:r>
    </w:p>
  </w:footnote>
  <w:footnote w:type="continuationSeparator" w:id="0">
    <w:p w14:paraId="1AF6E823" w14:textId="77777777" w:rsidR="00142657" w:rsidRDefault="00142657">
      <w:r>
        <w:continuationSeparator/>
      </w:r>
    </w:p>
  </w:footnote>
  <w:footnote w:id="1">
    <w:p w14:paraId="22CD4F5C" w14:textId="77777777" w:rsidR="00FD0189" w:rsidRDefault="00000000">
      <w:pPr>
        <w:pStyle w:val="FootnoteText"/>
      </w:pPr>
      <w:r>
        <w:rPr>
          <w:rStyle w:val="FootnoteReference"/>
        </w:rPr>
        <w:footnoteRef/>
      </w:r>
      <w:r>
        <w:t xml:space="preserve"> It is not meiosis </w:t>
      </w:r>
      <w:r>
        <w:rPr>
          <w:i/>
          <w:iCs/>
        </w:rPr>
        <w:t>per se</w:t>
      </w:r>
      <w:r>
        <w:t xml:space="preserve"> that is costly. As Williams realized, the cost stems from the reduction in relatedness between parent and outcrossed offspring. Indeed, in a later paper, Williams (</w:t>
      </w:r>
      <w:hyperlink w:anchor="ref-williams1975a">
        <w:r>
          <w:rPr>
            <w:rStyle w:val="Hyperlink"/>
          </w:rPr>
          <w:t>1975</w:t>
        </w:r>
      </w:hyperlink>
      <w:r>
        <w:t>) refers to the cost of meiosis as the “paradox of kin selection.” Why should organisms invest resources in outcrossed kin with a relatively low level of relatedness (</w:t>
      </w:r>
      <m:oMath>
        <m:r>
          <w:rPr>
            <w:rFonts w:ascii="Latin Modern Math" w:hAnsi="Latin Modern Math"/>
          </w:rPr>
          <m:t>r</m:t>
        </m:r>
        <m:r>
          <m:rPr>
            <m:sty m:val="p"/>
          </m:rPr>
          <w:rPr>
            <w:rFonts w:ascii="Latin Modern Math" w:hAnsi="Latin Modern Math"/>
          </w:rPr>
          <m:t>=</m:t>
        </m:r>
        <m:r>
          <w:rPr>
            <w:rFonts w:ascii="Latin Modern Math" w:hAnsi="Latin Modern Math"/>
          </w:rPr>
          <m:t>0.5</m:t>
        </m:r>
      </m:oMath>
      <w:r>
        <w:t>), rather than in self-fertilized kin with a high level of relatedness (</w:t>
      </w:r>
      <m:oMath>
        <m:r>
          <w:rPr>
            <w:rFonts w:ascii="Latin Modern Math" w:hAnsi="Latin Modern Math"/>
          </w:rPr>
          <m:t>r</m:t>
        </m:r>
        <m:r>
          <m:rPr>
            <m:sty m:val="p"/>
          </m:rPr>
          <w:rPr>
            <w:rFonts w:ascii="Latin Modern Math" w:hAnsi="Latin Modern Math"/>
          </w:rPr>
          <m:t>=</m:t>
        </m:r>
        <m:r>
          <w:rPr>
            <w:rFonts w:ascii="Latin Modern Math" w:hAnsi="Latin Modern Math"/>
          </w:rPr>
          <m:t>1</m:t>
        </m:r>
      </m:oMath>
      <w:r>
        <w:t xml:space="preserve">)? (See </w:t>
      </w:r>
      <w:hyperlink w:anchor="ref-dagg2016a">
        <w:proofErr w:type="spellStart"/>
        <w:r>
          <w:rPr>
            <w:rStyle w:val="Hyperlink"/>
          </w:rPr>
          <w:t>Dagg</w:t>
        </w:r>
        <w:proofErr w:type="spellEnd"/>
        <w:r>
          <w:rPr>
            <w:rStyle w:val="Hyperlink"/>
          </w:rPr>
          <w:t xml:space="preserve"> 2016</w:t>
        </w:r>
      </w:hyperlink>
      <w:r>
        <w:t>.)</w:t>
      </w:r>
    </w:p>
  </w:footnote>
  <w:footnote w:id="2">
    <w:p w14:paraId="396A469A" w14:textId="77777777" w:rsidR="00FD0189" w:rsidRDefault="00000000">
      <w:pPr>
        <w:pStyle w:val="FootnoteText"/>
      </w:pPr>
      <w:r>
        <w:rPr>
          <w:rStyle w:val="FootnoteReference"/>
        </w:rPr>
        <w:footnoteRef/>
      </w:r>
      <w:r>
        <w:t xml:space="preserve"> Asexuals are often polyploid versions of their sexual ancestors.</w:t>
      </w:r>
    </w:p>
  </w:footnote>
  <w:footnote w:id="3">
    <w:p w14:paraId="3D23550B" w14:textId="77777777" w:rsidR="00FD0189" w:rsidRDefault="00000000">
      <w:pPr>
        <w:pStyle w:val="FootnoteText"/>
      </w:pPr>
      <w:r>
        <w:rPr>
          <w:rStyle w:val="FootnoteReference"/>
        </w:rPr>
        <w:footnoteRef/>
      </w:r>
      <w:r>
        <w:t xml:space="preserve"> </w:t>
      </w:r>
      <w:proofErr w:type="spellStart"/>
      <w:r>
        <w:t>Lewontin</w:t>
      </w:r>
      <w:proofErr w:type="spellEnd"/>
      <w:r>
        <w:t xml:space="preserve"> (</w:t>
      </w:r>
      <w:hyperlink w:anchor="ref-lewontin1971a">
        <w:r>
          <w:rPr>
            <w:rStyle w:val="Hyperlink"/>
          </w:rPr>
          <w:t>1971</w:t>
        </w:r>
      </w:hyperlink>
      <w:r>
        <w:t>) was following up on Fisher’s (</w:t>
      </w:r>
      <w:hyperlink w:anchor="ref-fisher1930a">
        <w:r>
          <w:rPr>
            <w:rStyle w:val="Hyperlink"/>
          </w:rPr>
          <w:t>1930</w:t>
        </w:r>
      </w:hyperlink>
      <w:r>
        <w:t xml:space="preserve">) verbal suggestion that selection should act to reduce recombination. For example, </w:t>
      </w:r>
      <w:proofErr w:type="spellStart"/>
      <w:r>
        <w:t>Lewontin</w:t>
      </w:r>
      <w:proofErr w:type="spellEnd"/>
      <w:r>
        <w:t xml:space="preserve"> (</w:t>
      </w:r>
      <w:hyperlink w:anchor="ref-lewontin1971a">
        <w:r>
          <w:rPr>
            <w:rStyle w:val="Hyperlink"/>
          </w:rPr>
          <w:t>1971</w:t>
        </w:r>
      </w:hyperlink>
      <w:r>
        <w:t>) writes, “I will show … that Fisher’s conjecture is indeed correct.” Importantly, in his last paragraph, Lewontin wonders why recombination rates are greater than zero, and he suggests that the answer “must be sought in some more general long-term advantage for adaptation to a varying environment, or else to some mechanical necessity of recombination for the orderly distribution of chromosomes, as suggested by Darlington (</w:t>
      </w:r>
      <w:hyperlink w:anchor="ref-darlington1939a">
        <w:r>
          <w:rPr>
            <w:rStyle w:val="Hyperlink"/>
          </w:rPr>
          <w:t>1939</w:t>
        </w:r>
      </w:hyperlink>
      <w:r>
        <w:t xml:space="preserve">).” (See also </w:t>
      </w:r>
      <w:hyperlink w:anchor="ref-bell1982a">
        <w:r>
          <w:rPr>
            <w:rStyle w:val="Hyperlink"/>
          </w:rPr>
          <w:t>Bell 1982</w:t>
        </w:r>
      </w:hyperlink>
      <w:r>
        <w:t>).</w:t>
      </w:r>
    </w:p>
  </w:footnote>
  <w:footnote w:id="4">
    <w:p w14:paraId="0F824B55" w14:textId="77777777" w:rsidR="00FD0189" w:rsidRDefault="00000000">
      <w:pPr>
        <w:pStyle w:val="FootnoteText"/>
      </w:pPr>
      <w:r>
        <w:rPr>
          <w:rStyle w:val="FootnoteReference"/>
        </w:rPr>
        <w:footnoteRef/>
      </w:r>
      <w:r>
        <w:t xml:space="preserve"> For example, Darwin calls the evolution of sterile castes in social insects an “insuperable difficulty” for his theory of evolution by natural selection (pages 236-238 in </w:t>
      </w:r>
      <w:hyperlink w:anchor="ref-darwin1859a">
        <w:r>
          <w:rPr>
            <w:rStyle w:val="Hyperlink"/>
          </w:rPr>
          <w:t>Darwin 1859</w:t>
        </w:r>
      </w:hyperlink>
      <w:r>
        <w:t>).</w:t>
      </w:r>
    </w:p>
  </w:footnote>
  <w:footnote w:id="5">
    <w:p w14:paraId="1490C889" w14:textId="77777777" w:rsidR="00FD0189" w:rsidRDefault="00000000">
      <w:pPr>
        <w:pStyle w:val="FootnoteText"/>
      </w:pPr>
      <w:r>
        <w:rPr>
          <w:rStyle w:val="FootnoteReference"/>
        </w:rPr>
        <w:footnoteRef/>
      </w:r>
      <w:r>
        <w:t xml:space="preserve"> The case has been made that Charles Bonnet had discovered asexual reproduction in aphids in 1740 (see </w:t>
      </w:r>
      <w:hyperlink w:anchor="ref-lawrence2009a">
        <w:r>
          <w:rPr>
            <w:rStyle w:val="Hyperlink"/>
          </w:rPr>
          <w:t>Lawrence 2009</w:t>
        </w:r>
      </w:hyperlink>
      <w:r>
        <w:t>).</w:t>
      </w:r>
    </w:p>
  </w:footnote>
  <w:footnote w:id="6">
    <w:p w14:paraId="1169DC48" w14:textId="77777777" w:rsidR="00FD0189" w:rsidRDefault="00000000">
      <w:pPr>
        <w:pStyle w:val="FootnoteText"/>
      </w:pPr>
      <w:r>
        <w:rPr>
          <w:rStyle w:val="FootnoteReference"/>
        </w:rPr>
        <w:footnoteRef/>
      </w:r>
      <w:r>
        <w:t xml:space="preserve"> I suspect that Darwin uses the phrase “no longer wonderful” to mean “no longer astonishing.” See </w:t>
      </w:r>
      <w:hyperlink r:id="rId1">
        <w:r>
          <w:rPr>
            <w:rStyle w:val="Hyperlink"/>
          </w:rPr>
          <w:t>“How ‘Wonderful’ Lost Its Sense of Wonder.”</w:t>
        </w:r>
      </w:hyperlink>
    </w:p>
  </w:footnote>
  <w:footnote w:id="7">
    <w:p w14:paraId="25346596" w14:textId="77777777" w:rsidR="00FD0189" w:rsidRDefault="00000000">
      <w:pPr>
        <w:pStyle w:val="FootnoteText"/>
      </w:pPr>
      <w:r>
        <w:rPr>
          <w:rStyle w:val="FootnoteReference"/>
        </w:rPr>
        <w:footnoteRef/>
      </w:r>
      <w:r>
        <w:t xml:space="preserve"> I use slightly different variable names and try to simplify JMS’s original model.</w:t>
      </w:r>
    </w:p>
  </w:footnote>
  <w:footnote w:id="8">
    <w:p w14:paraId="662A0481" w14:textId="77777777" w:rsidR="00FD0189" w:rsidRDefault="00000000">
      <w:pPr>
        <w:pStyle w:val="FootnoteText"/>
      </w:pPr>
      <w:r>
        <w:rPr>
          <w:rStyle w:val="FootnoteReference"/>
        </w:rPr>
        <w:footnoteRef/>
      </w:r>
      <w:r>
        <w:t xml:space="preserve"> See Bell (</w:t>
      </w:r>
      <w:hyperlink w:anchor="ref-bell1982a">
        <w:r>
          <w:rPr>
            <w:rStyle w:val="Hyperlink"/>
          </w:rPr>
          <w:t>1982</w:t>
        </w:r>
      </w:hyperlink>
      <w:r>
        <w:t>) for a deeper historical view of the Lottery Model, which involves contributions by Maynard Smith and others, including Williams. I have tried to distill it down to a simple bet-hedging model here. The original formulation is more complex.</w:t>
      </w:r>
    </w:p>
  </w:footnote>
  <w:footnote w:id="9">
    <w:p w14:paraId="74FBC0F8" w14:textId="77777777" w:rsidR="00FD0189" w:rsidRDefault="00000000">
      <w:pPr>
        <w:pStyle w:val="FootnoteText"/>
      </w:pPr>
      <w:r>
        <w:rPr>
          <w:rStyle w:val="FootnoteReference"/>
        </w:rPr>
        <w:footnoteRef/>
      </w:r>
      <w:r>
        <w:t xml:space="preserve"> The variance in </w:t>
      </w:r>
      <m:oMath>
        <m:r>
          <w:rPr>
            <w:rFonts w:ascii="Latin Modern Math" w:hAnsi="Latin Modern Math"/>
          </w:rPr>
          <m:t>x</m:t>
        </m:r>
      </m:oMath>
      <w:r>
        <w:t xml:space="preserve"> is equal to the average of the squared deviations from the mean: </w:t>
      </w:r>
      <m:oMath>
        <m:r>
          <w:rPr>
            <w:rFonts w:ascii="Latin Modern Math" w:hAnsi="Latin Modern Math"/>
          </w:rPr>
          <m:t>var</m:t>
        </m:r>
        <m:d>
          <m:dPr>
            <m:ctrlPr>
              <w:rPr>
                <w:rFonts w:ascii="Latin Modern Math" w:hAnsi="Latin Modern Math"/>
              </w:rPr>
            </m:ctrlPr>
          </m:dPr>
          <m:e>
            <m:r>
              <w:rPr>
                <w:rFonts w:ascii="Latin Modern Math" w:hAnsi="Latin Modern Math"/>
              </w:rPr>
              <m:t>x</m:t>
            </m:r>
          </m:e>
        </m:d>
        <m:r>
          <m:rPr>
            <m:sty m:val="p"/>
          </m:rPr>
          <w:rPr>
            <w:rFonts w:ascii="Latin Modern Math" w:hAnsi="Latin Modern Math"/>
          </w:rPr>
          <m:t>=</m:t>
        </m:r>
        <m:f>
          <m:fPr>
            <m:ctrlPr>
              <w:rPr>
                <w:rFonts w:ascii="Latin Modern Math" w:hAnsi="Latin Modern Math"/>
              </w:rPr>
            </m:ctrlPr>
          </m:fPr>
          <m:num>
            <m:r>
              <w:rPr>
                <w:rFonts w:ascii="Latin Modern Math" w:hAnsi="Latin Modern Math"/>
              </w:rPr>
              <m:t>1</m:t>
            </m:r>
          </m:num>
          <m:den>
            <m:r>
              <w:rPr>
                <w:rFonts w:ascii="Latin Modern Math" w:hAnsi="Latin Modern Math"/>
              </w:rPr>
              <m:t>N</m:t>
            </m:r>
          </m:den>
        </m:f>
        <m:nary>
          <m:naryPr>
            <m:chr m:val="∑"/>
            <m:limLoc m:val="undOvr"/>
            <m:ctrlPr>
              <w:rPr>
                <w:rFonts w:ascii="Latin Modern Math" w:hAnsi="Latin Modern Math"/>
              </w:rPr>
            </m:ctrlPr>
          </m:naryPr>
          <m:sub>
            <m:r>
              <w:rPr>
                <w:rFonts w:ascii="Latin Modern Math" w:hAnsi="Latin Modern Math"/>
              </w:rPr>
              <m:t>i</m:t>
            </m:r>
            <m:r>
              <m:rPr>
                <m:sty m:val="p"/>
              </m:rPr>
              <w:rPr>
                <w:rFonts w:ascii="Latin Modern Math" w:hAnsi="Latin Modern Math"/>
              </w:rPr>
              <m:t>=</m:t>
            </m:r>
            <m:r>
              <w:rPr>
                <w:rFonts w:ascii="Latin Modern Math" w:hAnsi="Latin Modern Math"/>
              </w:rPr>
              <m:t>1</m:t>
            </m:r>
          </m:sub>
          <m:sup>
            <m:r>
              <w:rPr>
                <w:rFonts w:ascii="Latin Modern Math" w:hAnsi="Latin Modern Math"/>
              </w:rPr>
              <m:t>N</m:t>
            </m:r>
          </m:sup>
          <m:e>
            <m:sSup>
              <m:sSupPr>
                <m:ctrlPr>
                  <w:rPr>
                    <w:rFonts w:ascii="Latin Modern Math" w:hAnsi="Latin Modern Math"/>
                  </w:rPr>
                </m:ctrlPr>
              </m:sSupPr>
              <m:e>
                <m:d>
                  <m:dPr>
                    <m:ctrlPr>
                      <w:rPr>
                        <w:rFonts w:ascii="Latin Modern Math" w:hAnsi="Latin Modern Math"/>
                      </w:rPr>
                    </m:ctrlPr>
                  </m:dPr>
                  <m:e>
                    <m:sSub>
                      <m:sSubPr>
                        <m:ctrlPr>
                          <w:rPr>
                            <w:rFonts w:ascii="Latin Modern Math" w:hAnsi="Latin Modern Math"/>
                          </w:rPr>
                        </m:ctrlPr>
                      </m:sSubPr>
                      <m:e>
                        <m:r>
                          <w:rPr>
                            <w:rFonts w:ascii="Latin Modern Math" w:hAnsi="Latin Modern Math"/>
                          </w:rPr>
                          <m:t>x</m:t>
                        </m:r>
                      </m:e>
                      <m:sub>
                        <m:r>
                          <w:rPr>
                            <w:rFonts w:ascii="Latin Modern Math" w:hAnsi="Latin Modern Math"/>
                          </w:rPr>
                          <m:t>i</m:t>
                        </m:r>
                      </m:sub>
                    </m:sSub>
                    <m:r>
                      <m:rPr>
                        <m:sty m:val="p"/>
                      </m:rPr>
                      <w:rPr>
                        <w:rFonts w:ascii="Latin Modern Math" w:hAnsi="Latin Modern Math"/>
                      </w:rPr>
                      <m:t>-</m:t>
                    </m:r>
                    <m:bar>
                      <m:barPr>
                        <m:pos m:val="top"/>
                        <m:ctrlPr>
                          <w:rPr>
                            <w:rFonts w:ascii="Latin Modern Math" w:hAnsi="Latin Modern Math"/>
                          </w:rPr>
                        </m:ctrlPr>
                      </m:barPr>
                      <m:e>
                        <m:r>
                          <w:rPr>
                            <w:rFonts w:ascii="Latin Modern Math" w:hAnsi="Latin Modern Math"/>
                          </w:rPr>
                          <m:t>x</m:t>
                        </m:r>
                      </m:e>
                    </m:bar>
                  </m:e>
                </m:d>
              </m:e>
              <m:sup>
                <m:r>
                  <w:rPr>
                    <w:rFonts w:ascii="Latin Modern Math" w:hAnsi="Latin Modern Math"/>
                  </w:rPr>
                  <m:t>2</m:t>
                </m:r>
              </m:sup>
            </m:sSup>
          </m:e>
        </m:nary>
      </m:oMath>
      <w:r>
        <w:t>.</w:t>
      </w:r>
    </w:p>
  </w:footnote>
  <w:footnote w:id="10">
    <w:p w14:paraId="7926F0D0" w14:textId="77777777" w:rsidR="00FD0189" w:rsidRDefault="00000000">
      <w:pPr>
        <w:pStyle w:val="FootnoteText"/>
      </w:pPr>
      <w:r>
        <w:rPr>
          <w:rStyle w:val="FootnoteReference"/>
        </w:rPr>
        <w:footnoteRef/>
      </w:r>
      <w:r>
        <w:t xml:space="preserve"> The geometric mean is the </w:t>
      </w:r>
      <m:oMath>
        <m:sSup>
          <m:sSupPr>
            <m:ctrlPr>
              <w:rPr>
                <w:rFonts w:ascii="Latin Modern Math" w:hAnsi="Latin Modern Math"/>
              </w:rPr>
            </m:ctrlPr>
          </m:sSupPr>
          <m:e>
            <m:r>
              <w:rPr>
                <w:rFonts w:ascii="Latin Modern Math" w:hAnsi="Latin Modern Math"/>
              </w:rPr>
              <m:t>N</m:t>
            </m:r>
          </m:e>
          <m:sup>
            <m:r>
              <w:rPr>
                <w:rFonts w:ascii="Latin Modern Math" w:hAnsi="Latin Modern Math"/>
              </w:rPr>
              <m:t>th</m:t>
            </m:r>
          </m:sup>
        </m:sSup>
      </m:oMath>
      <w:r>
        <w:t xml:space="preserve"> root of the product of </w:t>
      </w:r>
      <m:oMath>
        <m:r>
          <w:rPr>
            <w:rFonts w:ascii="Latin Modern Math" w:hAnsi="Latin Modern Math"/>
          </w:rPr>
          <m:t>N</m:t>
        </m:r>
      </m:oMath>
      <w:r>
        <w:t xml:space="preserve"> observations. Compared to the arithmetic mean, the geometric mean gives more weight to small values.</w:t>
      </w:r>
    </w:p>
  </w:footnote>
  <w:footnote w:id="11">
    <w:p w14:paraId="65F14C2E" w14:textId="77777777" w:rsidR="00FD0189" w:rsidRDefault="00000000">
      <w:pPr>
        <w:pStyle w:val="FootnoteText"/>
      </w:pPr>
      <w:r>
        <w:rPr>
          <w:rStyle w:val="FootnoteReference"/>
        </w:rPr>
        <w:footnoteRef/>
      </w:r>
      <w:r>
        <w:t xml:space="preserve"> The bet-hedging idea dates to Daniel Bernoulli, a mathematical physicist, writing in 1738. Steve Stearns (</w:t>
      </w:r>
      <w:hyperlink w:anchor="ref-stearns2000a">
        <w:r>
          <w:rPr>
            <w:rStyle w:val="Hyperlink"/>
          </w:rPr>
          <w:t>2000</w:t>
        </w:r>
      </w:hyperlink>
      <w:r>
        <w:t xml:space="preserve">) provides an important, fascinating review of how evolutionary biologists (beginning with </w:t>
      </w:r>
      <w:hyperlink w:anchor="ref-cohen1966a">
        <w:r>
          <w:rPr>
            <w:rStyle w:val="Hyperlink"/>
          </w:rPr>
          <w:t>Cohen 1966</w:t>
        </w:r>
      </w:hyperlink>
      <w:r>
        <w:t>) and economists have borrowed from Bernoulli’s conceptual framework.</w:t>
      </w:r>
    </w:p>
  </w:footnote>
  <w:footnote w:id="12">
    <w:p w14:paraId="75045AD9" w14:textId="77777777" w:rsidR="00FD0189" w:rsidRDefault="00000000">
      <w:pPr>
        <w:pStyle w:val="FootnoteText"/>
      </w:pPr>
      <w:r>
        <w:rPr>
          <w:rStyle w:val="FootnoteReference"/>
        </w:rPr>
        <w:footnoteRef/>
      </w:r>
      <w:r>
        <w:t xml:space="preserve"> Vrijenhoek studied the coexistence of sexual fish with multiple clonal genotypes of asexual congeners in natural populations. He mainly envisioned the Frozen Niche Hypothesis as a model to explain the coexistence of multiple clones, but it can also explain the coexistence of sexual and asexual modes of reproduction if clonal diversity is low, and the clones do not compete strongly. See, for example pages 112-113 in Vrijenhoek and Parker (</w:t>
      </w:r>
      <w:hyperlink w:anchor="ref-vrijenhoek2009a">
        <w:r>
          <w:rPr>
            <w:rStyle w:val="Hyperlink"/>
          </w:rPr>
          <w:t>2009</w:t>
        </w:r>
      </w:hyperlink>
      <w:r>
        <w:t>): “The Frozen Niche Variation Model (</w:t>
      </w:r>
      <w:proofErr w:type="spellStart"/>
      <w:r>
        <w:fldChar w:fldCharType="begin"/>
      </w:r>
      <w:r>
        <w:instrText>HYPERLINK \l "ref-vrijenhoek1978a" \h</w:instrText>
      </w:r>
      <w:r>
        <w:fldChar w:fldCharType="separate"/>
      </w:r>
      <w:r>
        <w:rPr>
          <w:rStyle w:val="Hyperlink"/>
        </w:rPr>
        <w:t>Vrijenhoek</w:t>
      </w:r>
      <w:proofErr w:type="spellEnd"/>
      <w:r>
        <w:rPr>
          <w:rStyle w:val="Hyperlink"/>
        </w:rPr>
        <w:t xml:space="preserve"> 1978</w:t>
      </w:r>
      <w:r>
        <w:rPr>
          <w:rStyle w:val="Hyperlink"/>
        </w:rPr>
        <w:fldChar w:fldCharType="end"/>
      </w:r>
      <w:r>
        <w:t xml:space="preserve">, </w:t>
      </w:r>
      <w:hyperlink w:anchor="ref-vrijenhoek1979a">
        <w:r>
          <w:rPr>
            <w:rStyle w:val="Hyperlink"/>
          </w:rPr>
          <w:t>1979</w:t>
        </w:r>
      </w:hyperlink>
      <w:r>
        <w:t xml:space="preserve">) was directly stimulated by </w:t>
      </w:r>
      <w:proofErr w:type="spellStart"/>
      <w:r>
        <w:t>Roughgarden’s</w:t>
      </w:r>
      <w:proofErr w:type="spellEnd"/>
      <w:r>
        <w:t xml:space="preserve"> (</w:t>
      </w:r>
      <w:hyperlink w:anchor="ref-roughgarden1972a">
        <w:r>
          <w:rPr>
            <w:rStyle w:val="Hyperlink"/>
          </w:rPr>
          <w:t>1972</w:t>
        </w:r>
      </w:hyperlink>
      <w:r>
        <w:t xml:space="preserve">) ideas and a need to explain the stable coexistence of </w:t>
      </w:r>
      <w:r>
        <w:rPr>
          <w:i/>
          <w:iCs/>
        </w:rPr>
        <w:t>Poeciliopsis</w:t>
      </w:r>
      <w:r>
        <w:t xml:space="preserve"> fish clones in spatially heterogeneous desert streams (</w:t>
      </w:r>
      <w:proofErr w:type="spellStart"/>
      <w:r>
        <w:fldChar w:fldCharType="begin"/>
      </w:r>
      <w:r>
        <w:instrText>HYPERLINK \l "ref-vrijenhoek1978a" \h</w:instrText>
      </w:r>
      <w:r>
        <w:fldChar w:fldCharType="separate"/>
      </w:r>
      <w:r>
        <w:rPr>
          <w:rStyle w:val="Hyperlink"/>
        </w:rPr>
        <w:t>Vrijenhoek</w:t>
      </w:r>
      <w:proofErr w:type="spellEnd"/>
      <w:r>
        <w:rPr>
          <w:rStyle w:val="Hyperlink"/>
        </w:rPr>
        <w:t xml:space="preserve"> 1978</w:t>
      </w:r>
      <w:r>
        <w:rPr>
          <w:rStyle w:val="Hyperlink"/>
        </w:rPr>
        <w:fldChar w:fldCharType="end"/>
      </w:r>
      <w:r>
        <w:t>).”</w:t>
      </w:r>
    </w:p>
  </w:footnote>
  <w:footnote w:id="13">
    <w:p w14:paraId="431E2461" w14:textId="77777777" w:rsidR="00FD0189" w:rsidRDefault="00000000">
      <w:pPr>
        <w:pStyle w:val="FootnoteText"/>
      </w:pPr>
      <w:r>
        <w:rPr>
          <w:rStyle w:val="FootnoteReference"/>
        </w:rPr>
        <w:footnoteRef/>
      </w:r>
      <w:r>
        <w:t xml:space="preserve"> Soft selection in theoretical population genetics can also mean that the contribution of offspring from different demes in a metapopulation is unrelated to differences in mean fitness among demes.</w:t>
      </w:r>
    </w:p>
  </w:footnote>
  <w:footnote w:id="14">
    <w:p w14:paraId="7666664A" w14:textId="77777777" w:rsidR="00FD0189" w:rsidRDefault="00000000">
      <w:pPr>
        <w:pStyle w:val="FootnoteText"/>
      </w:pPr>
      <w:r>
        <w:rPr>
          <w:rStyle w:val="FootnoteReference"/>
        </w:rPr>
        <w:footnoteRef/>
      </w:r>
      <w:r>
        <w:t xml:space="preserve"> Wallace (</w:t>
      </w:r>
      <w:hyperlink w:anchor="ref-wallace1975a">
        <w:r>
          <w:rPr>
            <w:rStyle w:val="Hyperlink"/>
          </w:rPr>
          <w:t>1975</w:t>
        </w:r>
      </w:hyperlink>
      <w:r>
        <w:t>) explains that the source of the terms “soft” and “hard” stem from financial discussions of soft currencies versus hard currencies in monetary exchanges. Soft currencies only have value within their home country. In contrast, hard currencies can be exchanged overseas for currencies with similar buying power.</w:t>
      </w:r>
    </w:p>
  </w:footnote>
  <w:footnote w:id="15">
    <w:p w14:paraId="516F28E8" w14:textId="77777777" w:rsidR="00FD0189" w:rsidRDefault="00000000">
      <w:pPr>
        <w:pStyle w:val="FootnoteText"/>
      </w:pPr>
      <w:r>
        <w:rPr>
          <w:rStyle w:val="FootnoteReference"/>
        </w:rPr>
        <w:footnoteRef/>
      </w:r>
      <w:r>
        <w:t xml:space="preserve"> I use “parasite” here in the ecological sense to include any organism that lives in, or on, its host, provided it reduces the survivorship and/or fecundity of its host. As such, the term includes both macroparasites (such as worms) and microparasites (such as protozoans, bacteria, and viruses).</w:t>
      </w:r>
    </w:p>
  </w:footnote>
  <w:footnote w:id="16">
    <w:p w14:paraId="30812838" w14:textId="77777777" w:rsidR="00FD0189" w:rsidRDefault="00000000">
      <w:pPr>
        <w:pStyle w:val="FootnoteText"/>
      </w:pPr>
      <w:r>
        <w:rPr>
          <w:rStyle w:val="FootnoteReference"/>
        </w:rPr>
        <w:footnoteRef/>
      </w:r>
      <w:r>
        <w:t xml:space="preserve"> The intersection between science and literature is not restricted to selection for or against sex. For a fascinating essay on how the biology of parasites meets literature, see Justyna </w:t>
      </w:r>
      <w:proofErr w:type="spellStart"/>
      <w:r>
        <w:t>Jajszczok’s</w:t>
      </w:r>
      <w:proofErr w:type="spellEnd"/>
      <w:r>
        <w:t xml:space="preserve"> (</w:t>
      </w:r>
      <w:hyperlink w:anchor="ref-jajszczok2017a">
        <w:r>
          <w:rPr>
            <w:rStyle w:val="Hyperlink"/>
          </w:rPr>
          <w:t>2017</w:t>
        </w:r>
      </w:hyperlink>
      <w:r>
        <w:t>) dissertation.</w:t>
      </w:r>
    </w:p>
  </w:footnote>
  <w:footnote w:id="17">
    <w:p w14:paraId="65F0C14F" w14:textId="77777777" w:rsidR="00FD0189" w:rsidRDefault="00000000">
      <w:pPr>
        <w:pStyle w:val="FootnoteText"/>
      </w:pPr>
      <w:r>
        <w:rPr>
          <w:rStyle w:val="FootnoteReference"/>
        </w:rPr>
        <w:footnoteRef/>
      </w:r>
      <w:r>
        <w:t xml:space="preserve"> I. M. Lerner used the Red Queen metaphor as early as 1954 with respect to the selection needed to maintain genetic homeostasis: “The </w:t>
      </w:r>
      <w:r>
        <w:rPr>
          <w:i/>
          <w:iCs/>
        </w:rPr>
        <w:t>Alice in Wonderland</w:t>
      </w:r>
      <w:r>
        <w:t xml:space="preserve"> situation in which ‘it takes all the running you can do to stay in the same place’ arises when a stationary level of performance can be maintained only by application of the maximum selection possible” (See page 117 in </w:t>
      </w:r>
      <w:hyperlink w:anchor="ref-lerner1954a">
        <w:r>
          <w:rPr>
            <w:rStyle w:val="Hyperlink"/>
          </w:rPr>
          <w:t>Lerner 1954</w:t>
        </w:r>
      </w:hyperlink>
      <w:r>
        <w:t>).</w:t>
      </w:r>
    </w:p>
  </w:footnote>
  <w:footnote w:id="18">
    <w:p w14:paraId="6034F327" w14:textId="77777777" w:rsidR="00FD0189" w:rsidRDefault="00000000">
      <w:pPr>
        <w:pStyle w:val="FootnoteText"/>
      </w:pPr>
      <w:r>
        <w:rPr>
          <w:rStyle w:val="FootnoteReference"/>
        </w:rPr>
        <w:footnoteRef/>
      </w:r>
      <w:r>
        <w:t xml:space="preserve"> For example, Glesener and Tilman (</w:t>
      </w:r>
      <w:hyperlink w:anchor="ref-glesener1978a">
        <w:r>
          <w:rPr>
            <w:rStyle w:val="Hyperlink"/>
          </w:rPr>
          <w:t>1978</w:t>
        </w:r>
      </w:hyperlink>
      <w:r>
        <w:t>) write, “Thus, sexuality not only is favored under changed conditions but is, itself, capable of changing the conditions. The sexuality of an organism’s competitors, predators, parasites, etc., will greatly increase the selective pressure for sexuality on that organism as well.”</w:t>
      </w:r>
    </w:p>
  </w:footnote>
  <w:footnote w:id="19">
    <w:p w14:paraId="6A60F7E1" w14:textId="77777777" w:rsidR="00FD0189" w:rsidRDefault="00000000">
      <w:pPr>
        <w:pStyle w:val="FootnoteText"/>
      </w:pPr>
      <w:r>
        <w:rPr>
          <w:rStyle w:val="FootnoteReference"/>
        </w:rPr>
        <w:footnoteRef/>
      </w:r>
      <w:r>
        <w:t xml:space="preserve"> </w:t>
      </w:r>
      <w:proofErr w:type="spellStart"/>
      <w:r>
        <w:t>Jaenike</w:t>
      </w:r>
      <w:proofErr w:type="spellEnd"/>
      <w:r>
        <w:t xml:space="preserve"> (</w:t>
      </w:r>
      <w:hyperlink w:anchor="ref-jaenike1978a">
        <w:r>
          <w:rPr>
            <w:rStyle w:val="Hyperlink"/>
          </w:rPr>
          <w:t>1978</w:t>
        </w:r>
      </w:hyperlink>
      <w:r>
        <w:t>) focuses more on the recycling of genotypes: “My hypothesis differs from Levin’s in that sex and recombination are advantageous not to produce novel genotypes as such, but to produce rare genotypes, of which novel ones are only a subset.”</w:t>
      </w:r>
    </w:p>
  </w:footnote>
  <w:footnote w:id="20">
    <w:p w14:paraId="25127557" w14:textId="77777777" w:rsidR="00FD0189" w:rsidRDefault="00000000">
      <w:pPr>
        <w:pStyle w:val="FootnoteText"/>
      </w:pPr>
      <w:r>
        <w:rPr>
          <w:rStyle w:val="FootnoteReference"/>
        </w:rPr>
        <w:footnoteRef/>
      </w:r>
      <w:r>
        <w:t xml:space="preserve"> I use “frequency-dependent” selection here to mean selection against common genotypes. A more accurate phrase would be “negative frequency-dependent” selection.</w:t>
      </w:r>
    </w:p>
  </w:footnote>
  <w:footnote w:id="21">
    <w:p w14:paraId="502C5515" w14:textId="77777777" w:rsidR="00FD0189" w:rsidRDefault="00000000">
      <w:pPr>
        <w:pStyle w:val="FootnoteText"/>
      </w:pPr>
      <w:r>
        <w:rPr>
          <w:rStyle w:val="FootnoteReference"/>
        </w:rPr>
        <w:footnoteRef/>
      </w:r>
      <w:r>
        <w:t xml:space="preserve"> This is not meant to imply, however, that the strength of parasite-mediated selection under the Red Queen Hypothesis must be independent of population size. Indeed, as we will see, there are good reasons to think that the strength of parasite-mediated selection depends on host density.</w:t>
      </w:r>
    </w:p>
  </w:footnote>
  <w:footnote w:id="22">
    <w:p w14:paraId="4FC8F599" w14:textId="77777777" w:rsidR="00FD0189" w:rsidRDefault="00000000">
      <w:pPr>
        <w:pStyle w:val="FootnoteText"/>
      </w:pPr>
      <w:r>
        <w:rPr>
          <w:rStyle w:val="FootnoteReference"/>
        </w:rPr>
        <w:footnoteRef/>
      </w:r>
      <w:r>
        <w:t xml:space="preserve"> The basic idea comes from a paper by Hill and Robertson (</w:t>
      </w:r>
      <w:hyperlink w:anchor="ref-hill1966a">
        <w:r>
          <w:rPr>
            <w:rStyle w:val="Hyperlink"/>
          </w:rPr>
          <w:t>1966</w:t>
        </w:r>
      </w:hyperlink>
      <w:r>
        <w:t xml:space="preserve">) and is often called the Hill-Robertson effect (following </w:t>
      </w:r>
      <w:hyperlink w:anchor="ref-felsenstein1974a">
        <w:proofErr w:type="spellStart"/>
        <w:r>
          <w:rPr>
            <w:rStyle w:val="Hyperlink"/>
          </w:rPr>
          <w:t>Felsenstein</w:t>
        </w:r>
        <w:proofErr w:type="spellEnd"/>
        <w:r>
          <w:rPr>
            <w:rStyle w:val="Hyperlink"/>
          </w:rPr>
          <w:t xml:space="preserve"> 1974</w:t>
        </w:r>
      </w:hyperlink>
      <w:r>
        <w:t>). A broader framework, housed under the more intuitive phrase “selective interference,” was recently given by Sarah Otto (</w:t>
      </w:r>
      <w:hyperlink w:anchor="ref-otto2021a">
        <w:r>
          <w:rPr>
            <w:rStyle w:val="Hyperlink"/>
          </w:rPr>
          <w:t>2021</w:t>
        </w:r>
      </w:hyperlink>
      <w:r>
        <w:t>) as part of her keynote lecture given to the American Genetic Association.</w:t>
      </w:r>
    </w:p>
  </w:footnote>
  <w:footnote w:id="23">
    <w:p w14:paraId="6B82C8CB" w14:textId="77777777" w:rsidR="00FD0189" w:rsidRDefault="00000000">
      <w:pPr>
        <w:pStyle w:val="FootnoteText"/>
      </w:pPr>
      <w:r>
        <w:rPr>
          <w:rStyle w:val="FootnoteReference"/>
        </w:rPr>
        <w:footnoteRef/>
      </w:r>
      <w:r>
        <w:t xml:space="preserve"> The harmonic mean is not intuitive to most Biology students. So, I ask them this question: If you had a score of 100 on your first exam and a score of 60 on your second exam, would you rather have your final grade calculated as the arithmetic mean or the harmonic mean of the two scores? After some thought, they all pick the arithmetic mean. That is because the harmonic mean weights low scores more heavily than high scores.</w:t>
      </w:r>
    </w:p>
  </w:footnote>
  <w:footnote w:id="24">
    <w:p w14:paraId="135E0843" w14:textId="77777777" w:rsidR="00FD0189" w:rsidRDefault="00000000">
      <w:pPr>
        <w:pStyle w:val="FootnoteText"/>
      </w:pPr>
      <w:r>
        <w:rPr>
          <w:rStyle w:val="FootnoteReference"/>
        </w:rPr>
        <w:footnoteRef/>
      </w:r>
      <w:r>
        <w:t xml:space="preserve"> I ran two years of field experiments designed to test for random settlement by genetically determined morphs. I also ran experiments designed to test for habitat selection by genetically determined morphs. The results were always negative. I finally tested for predator-induced development of the bent morph by placing </w:t>
      </w:r>
      <w:r>
        <w:rPr>
          <w:i/>
          <w:iCs/>
        </w:rPr>
        <w:t>Acanthina</w:t>
      </w:r>
      <w:r>
        <w:t xml:space="preserve"> snails in quadrats where juvenile barnacles had recently settled. I used herbivorous snails as a control. The results showed that the presence of </w:t>
      </w:r>
      <w:r>
        <w:rPr>
          <w:i/>
          <w:iCs/>
        </w:rPr>
        <w:t>Acanthina</w:t>
      </w:r>
      <w:r>
        <w:t xml:space="preserve"> induced development of the bent form, but the herbivorous snails did not. It was a thrilling discovery.</w:t>
      </w:r>
    </w:p>
  </w:footnote>
  <w:footnote w:id="25">
    <w:p w14:paraId="196FB734" w14:textId="77777777" w:rsidR="00FD0189" w:rsidRDefault="00000000">
      <w:pPr>
        <w:pStyle w:val="FootnoteText"/>
      </w:pPr>
      <w:r>
        <w:rPr>
          <w:rStyle w:val="FootnoteReference"/>
        </w:rPr>
        <w:footnoteRef/>
      </w:r>
      <w:r>
        <w:t xml:space="preserve"> Plasticity is more mainstream now than it was in the 1980s. One reviewer of my paper was incredulous and recommended rejection from </w:t>
      </w:r>
      <w:r>
        <w:rPr>
          <w:i/>
          <w:iCs/>
        </w:rPr>
        <w:t>Evolution</w:t>
      </w:r>
      <w:r>
        <w:t xml:space="preserve"> because the bent morph was not “genetically determined.” The Associate Editor (John Endler) rejected the review and accepted the paper. Clearly, it is the developmental strategy that is genetically determined, not the morph per se (</w:t>
      </w:r>
      <w:hyperlink w:anchor="ref-hazel2004a">
        <w:r>
          <w:rPr>
            <w:rStyle w:val="Hyperlink"/>
          </w:rPr>
          <w:t xml:space="preserve">Hazel </w:t>
        </w:r>
        <w:r>
          <w:rPr>
            <w:rStyle w:val="Hyperlink"/>
            <w:i/>
            <w:iCs/>
          </w:rPr>
          <w:t>et al.</w:t>
        </w:r>
        <w:r>
          <w:rPr>
            <w:rStyle w:val="Hyperlink"/>
          </w:rPr>
          <w:t xml:space="preserve"> 2004</w:t>
        </w:r>
      </w:hyperlink>
      <w:r>
        <w:t xml:space="preserve">; see also </w:t>
      </w:r>
      <w:hyperlink w:anchor="ref-lively2000a">
        <w:r>
          <w:rPr>
            <w:rStyle w:val="Hyperlink"/>
          </w:rPr>
          <w:t xml:space="preserve">Lively </w:t>
        </w:r>
        <w:r>
          <w:rPr>
            <w:rStyle w:val="Hyperlink"/>
            <w:i/>
            <w:iCs/>
          </w:rPr>
          <w:t>et al.</w:t>
        </w:r>
        <w:r>
          <w:rPr>
            <w:rStyle w:val="Hyperlink"/>
          </w:rPr>
          <w:t xml:space="preserve"> 2000</w:t>
        </w:r>
      </w:hyperlink>
      <w:r>
        <w:t>).</w:t>
      </w:r>
    </w:p>
  </w:footnote>
  <w:footnote w:id="26">
    <w:p w14:paraId="6DD3F697" w14:textId="77777777" w:rsidR="00FD0189" w:rsidRDefault="00000000">
      <w:pPr>
        <w:pStyle w:val="FootnoteText"/>
      </w:pPr>
      <w:r>
        <w:rPr>
          <w:rStyle w:val="FootnoteReference"/>
        </w:rPr>
        <w:footnoteRef/>
      </w:r>
      <w:r>
        <w:t xml:space="preserve"> Facultative parthenogenesis is used to mean environmentally cued production of parthenogenetic females. I was originally planning to work on a nematode population that produced a mixture of sexual males and females at high density but only parthenogenetic females at low density.</w:t>
      </w:r>
    </w:p>
  </w:footnote>
  <w:footnote w:id="27">
    <w:p w14:paraId="77A8019A" w14:textId="77777777" w:rsidR="00FD0189" w:rsidRDefault="00000000">
      <w:pPr>
        <w:pStyle w:val="FootnoteText"/>
      </w:pPr>
      <w:r>
        <w:rPr>
          <w:rStyle w:val="FootnoteReference"/>
        </w:rPr>
        <w:footnoteRef/>
      </w:r>
      <w:r>
        <w:t xml:space="preserve"> We were trained ask questions first and then seek suitable organisms to address the questions. This was the tradition before model-systems research took over (</w:t>
      </w:r>
      <w:hyperlink w:anchor="ref-churchill1997a">
        <w:r>
          <w:rPr>
            <w:rStyle w:val="Hyperlink"/>
          </w:rPr>
          <w:t>Churchill 1997</w:t>
        </w:r>
      </w:hyperlink>
      <w:r>
        <w:t>).</w:t>
      </w:r>
    </w:p>
  </w:footnote>
  <w:footnote w:id="28">
    <w:p w14:paraId="03526FCE" w14:textId="77777777" w:rsidR="00FD0189" w:rsidRDefault="00000000">
      <w:pPr>
        <w:pStyle w:val="FootnoteText"/>
      </w:pPr>
      <w:r>
        <w:rPr>
          <w:rStyle w:val="FootnoteReference"/>
        </w:rPr>
        <w:footnoteRef/>
      </w:r>
      <w:r>
        <w:t xml:space="preserve"> Professor Winterbourn was supportive of my work from this first day. He shared his knowledge of the snail system and of freshwater ecology, in general, with great enthusiasm. In addition, Mike met with my Ph.D. students and took them into the field. This book would not have been possible without Professor Winterbourn.</w:t>
      </w:r>
    </w:p>
  </w:footnote>
  <w:footnote w:id="29">
    <w:p w14:paraId="0C97D2E2" w14:textId="77777777" w:rsidR="00FD0189" w:rsidRDefault="00000000">
      <w:pPr>
        <w:pStyle w:val="FootnoteText"/>
      </w:pPr>
      <w:r>
        <w:rPr>
          <w:rStyle w:val="FootnoteReference"/>
        </w:rPr>
        <w:footnoteRef/>
      </w:r>
      <w:r>
        <w:t xml:space="preserve"> See also Elliott and Brook (</w:t>
      </w:r>
      <w:hyperlink w:anchor="ref-elliott2007a">
        <w:r>
          <w:rPr>
            <w:rStyle w:val="Hyperlink"/>
          </w:rPr>
          <w:t>2007</w:t>
        </w:r>
      </w:hyperlink>
      <w:r>
        <w:t xml:space="preserve">). They point out crucial differences between Chamberlin and Platt including that Chamberlin allowed for multiple ideas to be partially correct, which is important for </w:t>
      </w:r>
      <w:hyperlink w:anchor="sec-chap6">
        <w:r>
          <w:rPr>
            <w:rStyle w:val="Hyperlink"/>
          </w:rPr>
          <w:t>Chapter 6</w:t>
        </w:r>
      </w:hyperlink>
      <w:r>
        <w:t>.</w:t>
      </w:r>
    </w:p>
  </w:footnote>
  <w:footnote w:id="30">
    <w:p w14:paraId="3781DF8D" w14:textId="77777777" w:rsidR="00FD0189" w:rsidRDefault="00000000">
      <w:pPr>
        <w:pStyle w:val="FootnoteText"/>
      </w:pPr>
      <w:r>
        <w:rPr>
          <w:rStyle w:val="FootnoteReference"/>
        </w:rPr>
        <w:footnoteRef/>
      </w:r>
      <w:r>
        <w:t xml:space="preserve"> With respect to </w:t>
      </w:r>
      <w:r>
        <w:rPr>
          <w:i/>
          <w:iCs/>
        </w:rPr>
        <w:t>Potamopyrgus</w:t>
      </w:r>
      <w:r>
        <w:t xml:space="preserve"> (along with a parthenogenetic beetle) Maynard Smith (</w:t>
      </w:r>
      <w:hyperlink w:anchor="ref-maynard1978a">
        <w:r>
          <w:rPr>
            <w:rStyle w:val="Hyperlink"/>
          </w:rPr>
          <w:t>1978</w:t>
        </w:r>
      </w:hyperlink>
      <w:r>
        <w:t>) wrote, “Further Investigations of these cases could be most interesting.” When I met JMS, I did not know (or did not remember) that he had written this. But I think that he was correct.</w:t>
      </w:r>
    </w:p>
  </w:footnote>
  <w:footnote w:id="31">
    <w:p w14:paraId="0C69FE95" w14:textId="77777777" w:rsidR="00FD0189" w:rsidRDefault="00000000">
      <w:pPr>
        <w:pStyle w:val="FootnoteText"/>
      </w:pPr>
      <w:r>
        <w:rPr>
          <w:rStyle w:val="FootnoteReference"/>
        </w:rPr>
        <w:footnoteRef/>
      </w:r>
      <w:r>
        <w:t xml:space="preserve"> This assumption turned out to be not strictly true. Polyploid females occasionally produce males, although they seem unlikely to be very fertile (</w:t>
      </w:r>
      <w:hyperlink w:anchor="ref-soper2013a">
        <w:r>
          <w:rPr>
            <w:rStyle w:val="Hyperlink"/>
          </w:rPr>
          <w:t xml:space="preserve">Soper </w:t>
        </w:r>
        <w:r>
          <w:rPr>
            <w:rStyle w:val="Hyperlink"/>
            <w:i/>
            <w:iCs/>
          </w:rPr>
          <w:t>et al.</w:t>
        </w:r>
        <w:r>
          <w:rPr>
            <w:rStyle w:val="Hyperlink"/>
          </w:rPr>
          <w:t xml:space="preserve"> 2013</w:t>
        </w:r>
      </w:hyperlink>
      <w:r>
        <w:t>).</w:t>
      </w:r>
    </w:p>
  </w:footnote>
  <w:footnote w:id="32">
    <w:p w14:paraId="59584091" w14:textId="77777777" w:rsidR="00FD0189" w:rsidRDefault="00000000">
      <w:pPr>
        <w:pStyle w:val="FootnoteText"/>
      </w:pPr>
      <w:r>
        <w:rPr>
          <w:rStyle w:val="FootnoteReference"/>
        </w:rPr>
        <w:footnoteRef/>
      </w:r>
      <w:r>
        <w:t xml:space="preserve"> The group included Mark McKone. Mark was a post-doc with David, and his comments were especially influential. Fifteen years later, I would become Ph.D. advisor to one of Mark’s star mentees at Carleton College, Maurine Neiman.</w:t>
      </w:r>
    </w:p>
  </w:footnote>
  <w:footnote w:id="33">
    <w:p w14:paraId="29B1DB7C" w14:textId="77777777" w:rsidR="00FD0189" w:rsidRDefault="00000000">
      <w:pPr>
        <w:pStyle w:val="FootnoteText"/>
      </w:pPr>
      <w:r>
        <w:rPr>
          <w:rStyle w:val="FootnoteReference"/>
        </w:rPr>
        <w:footnoteRef/>
      </w:r>
      <w:r>
        <w:t xml:space="preserve"> There we also some very interesting outliers. Domesticated mammals had very strong positive residuals for the rate of recombination. This result suggests that recombination was selected by frequent changes in the targets of artificial selection by humans.</w:t>
      </w:r>
    </w:p>
  </w:footnote>
  <w:footnote w:id="34">
    <w:p w14:paraId="273DF199" w14:textId="77777777" w:rsidR="00FD0189" w:rsidRDefault="00000000">
      <w:pPr>
        <w:pStyle w:val="FootnoteText"/>
      </w:pPr>
      <w:r>
        <w:rPr>
          <w:rStyle w:val="FootnoteReference"/>
        </w:rPr>
        <w:footnoteRef/>
      </w:r>
      <w:r>
        <w:t xml:space="preserve"> From </w:t>
      </w:r>
      <w:proofErr w:type="spellStart"/>
      <w:r>
        <w:t>Levins</w:t>
      </w:r>
      <w:proofErr w:type="spellEnd"/>
      <w:r>
        <w:t xml:space="preserve"> (</w:t>
      </w:r>
      <w:hyperlink w:anchor="ref-levins1966a">
        <w:r>
          <w:rPr>
            <w:rStyle w:val="Hyperlink"/>
          </w:rPr>
          <w:t>1966</w:t>
        </w:r>
      </w:hyperlink>
      <w:r>
        <w:t>): “Therefore, we attempt to treat the same problem with several alternative models each with different simplifications but with a common biological assumption. Then, if these models, despite their different assumptions, lead to similar results we have what we can call a robust theorem which is relatively free of the details of the model. Hence our truth is the intersection of independent lies.”</w:t>
      </w:r>
    </w:p>
  </w:footnote>
  <w:footnote w:id="35">
    <w:p w14:paraId="0E6A5459" w14:textId="77777777" w:rsidR="00FD0189" w:rsidRDefault="00000000">
      <w:pPr>
        <w:pStyle w:val="FootnoteText"/>
      </w:pPr>
      <w:r>
        <w:rPr>
          <w:rStyle w:val="FootnoteReference"/>
        </w:rPr>
        <w:footnoteRef/>
      </w:r>
      <w:r>
        <w:t xml:space="preserve"> I was also persuaded by elegant experimental studies on sweet vernal grass, which showed a density-independent advantage to having a rare genotype (</w:t>
      </w:r>
      <w:proofErr w:type="spellStart"/>
      <w:r>
        <w:fldChar w:fldCharType="begin"/>
      </w:r>
      <w:r>
        <w:instrText>HYPERLINK \l "ref-antonovics1984a" \h</w:instrText>
      </w:r>
      <w:r>
        <w:fldChar w:fldCharType="separate"/>
      </w:r>
      <w:r>
        <w:rPr>
          <w:rStyle w:val="Hyperlink"/>
        </w:rPr>
        <w:t>Antonovics</w:t>
      </w:r>
      <w:proofErr w:type="spellEnd"/>
      <w:r>
        <w:rPr>
          <w:rStyle w:val="Hyperlink"/>
        </w:rPr>
        <w:t xml:space="preserve"> &amp; </w:t>
      </w:r>
      <w:proofErr w:type="spellStart"/>
      <w:r>
        <w:rPr>
          <w:rStyle w:val="Hyperlink"/>
        </w:rPr>
        <w:t>Ellstrand</w:t>
      </w:r>
      <w:proofErr w:type="spellEnd"/>
      <w:r>
        <w:rPr>
          <w:rStyle w:val="Hyperlink"/>
        </w:rPr>
        <w:t xml:space="preserve"> 1984</w:t>
      </w:r>
      <w:r>
        <w:rPr>
          <w:rStyle w:val="Hyperlink"/>
        </w:rPr>
        <w:fldChar w:fldCharType="end"/>
      </w:r>
      <w:r>
        <w:t xml:space="preserve">; </w:t>
      </w:r>
      <w:hyperlink w:anchor="ref-ellstrand1985a">
        <w:proofErr w:type="spellStart"/>
        <w:r>
          <w:rPr>
            <w:rStyle w:val="Hyperlink"/>
          </w:rPr>
          <w:t>Ellstrand</w:t>
        </w:r>
        <w:proofErr w:type="spellEnd"/>
        <w:r>
          <w:rPr>
            <w:rStyle w:val="Hyperlink"/>
          </w:rPr>
          <w:t xml:space="preserve"> &amp; </w:t>
        </w:r>
        <w:proofErr w:type="spellStart"/>
        <w:r>
          <w:rPr>
            <w:rStyle w:val="Hyperlink"/>
          </w:rPr>
          <w:t>Antonovics</w:t>
        </w:r>
        <w:proofErr w:type="spellEnd"/>
        <w:r>
          <w:rPr>
            <w:rStyle w:val="Hyperlink"/>
          </w:rPr>
          <w:t xml:space="preserve"> 1985</w:t>
        </w:r>
      </w:hyperlink>
      <w:r>
        <w:t>). Later studies showed that the rare advantage was likely due to escape from infection (</w:t>
      </w:r>
      <w:hyperlink w:anchor="ref-kelley1988a">
        <w:r>
          <w:rPr>
            <w:rStyle w:val="Hyperlink"/>
          </w:rPr>
          <w:t xml:space="preserve">Kelley </w:t>
        </w:r>
        <w:r>
          <w:rPr>
            <w:rStyle w:val="Hyperlink"/>
            <w:i/>
            <w:iCs/>
          </w:rPr>
          <w:t>et al.</w:t>
        </w:r>
        <w:r>
          <w:rPr>
            <w:rStyle w:val="Hyperlink"/>
          </w:rPr>
          <w:t xml:space="preserve"> 1988</w:t>
        </w:r>
      </w:hyperlink>
      <w:r>
        <w:t xml:space="preserve">; </w:t>
      </w:r>
      <w:hyperlink w:anchor="ref-kelley1993a">
        <w:r>
          <w:rPr>
            <w:rStyle w:val="Hyperlink"/>
          </w:rPr>
          <w:t>1993</w:t>
        </w:r>
      </w:hyperlink>
      <w:r>
        <w:t xml:space="preserve">, </w:t>
      </w:r>
      <w:hyperlink w:anchor="ref-kelley1994a">
        <w:r>
          <w:rPr>
            <w:rStyle w:val="Hyperlink"/>
          </w:rPr>
          <w:t>1994</w:t>
        </w:r>
      </w:hyperlink>
      <w:r>
        <w:t>).</w:t>
      </w:r>
    </w:p>
  </w:footnote>
  <w:footnote w:id="36">
    <w:p w14:paraId="2032A50A" w14:textId="77777777" w:rsidR="00FD0189" w:rsidRDefault="00000000">
      <w:pPr>
        <w:pStyle w:val="FootnoteText"/>
      </w:pPr>
      <w:r>
        <w:rPr>
          <w:rStyle w:val="FootnoteReference"/>
        </w:rPr>
        <w:footnoteRef/>
      </w:r>
      <w:r>
        <w:t xml:space="preserve"> The partial correlation between percent male and prevalence of infection, while controlling for habitat, is highly significant (</w:t>
      </w:r>
      <m:oMath>
        <m:r>
          <w:rPr>
            <w:rFonts w:ascii="Latin Modern Math" w:hAnsi="Latin Modern Math"/>
          </w:rPr>
          <m:t>r</m:t>
        </m:r>
        <m:r>
          <m:rPr>
            <m:sty m:val="p"/>
          </m:rPr>
          <w:rPr>
            <w:rFonts w:ascii="Latin Modern Math" w:hAnsi="Latin Modern Math"/>
          </w:rPr>
          <m:t>=</m:t>
        </m:r>
        <m:r>
          <w:rPr>
            <w:rFonts w:ascii="Latin Modern Math" w:hAnsi="Latin Modern Math"/>
          </w:rPr>
          <m:t>0.36</m:t>
        </m:r>
      </m:oMath>
      <w:r>
        <w:t xml:space="preserve">, </w:t>
      </w:r>
      <m:oMath>
        <m:r>
          <w:rPr>
            <w:rFonts w:ascii="Latin Modern Math" w:hAnsi="Latin Modern Math"/>
          </w:rPr>
          <m:t>P</m:t>
        </m:r>
        <m:r>
          <m:rPr>
            <m:sty m:val="p"/>
          </m:rPr>
          <w:rPr>
            <w:rFonts w:ascii="Latin Modern Math" w:hAnsi="Latin Modern Math"/>
          </w:rPr>
          <m:t>&lt;</m:t>
        </m:r>
        <m:r>
          <w:rPr>
            <w:rFonts w:ascii="Latin Modern Math" w:hAnsi="Latin Modern Math"/>
          </w:rPr>
          <m:t>0.001</m:t>
        </m:r>
      </m:oMath>
      <w:r>
        <w:t>). However, the partial correlation between percent male and habitat, while controlling for prevalence of infection, is marginally significant (</w:t>
      </w:r>
      <m:oMath>
        <m:r>
          <w:rPr>
            <w:rFonts w:ascii="Latin Modern Math" w:hAnsi="Latin Modern Math"/>
          </w:rPr>
          <m:t>r</m:t>
        </m:r>
        <m:r>
          <m:rPr>
            <m:sty m:val="p"/>
          </m:rPr>
          <w:rPr>
            <w:rFonts w:ascii="Latin Modern Math" w:hAnsi="Latin Modern Math"/>
          </w:rPr>
          <m:t>=</m:t>
        </m:r>
        <m:r>
          <w:rPr>
            <w:rFonts w:ascii="Latin Modern Math" w:hAnsi="Latin Modern Math"/>
          </w:rPr>
          <m:t>0.21</m:t>
        </m:r>
      </m:oMath>
      <w:r>
        <w:t xml:space="preserve">, </w:t>
      </w:r>
      <m:oMath>
        <m:r>
          <w:rPr>
            <w:rFonts w:ascii="Latin Modern Math" w:hAnsi="Latin Modern Math"/>
          </w:rPr>
          <m:t>P</m:t>
        </m:r>
        <m:r>
          <m:rPr>
            <m:sty m:val="p"/>
          </m:rPr>
          <w:rPr>
            <w:rFonts w:ascii="Latin Modern Math" w:hAnsi="Latin Modern Math"/>
          </w:rPr>
          <m:t>=</m:t>
        </m:r>
        <m:r>
          <w:rPr>
            <w:rFonts w:ascii="Latin Modern Math" w:hAnsi="Latin Modern Math"/>
          </w:rPr>
          <m:t>0.05</m:t>
        </m:r>
      </m:oMath>
      <w:r>
        <w:t xml:space="preserve">). Similar results were gained after males were excluded from the calculation of infection prevalence, which controls for any sex-specific differences in susceptibility (as shown in </w:t>
      </w:r>
      <w:hyperlink w:anchor="fig-3-5">
        <w:r>
          <w:rPr>
            <w:rStyle w:val="Hyperlink"/>
          </w:rPr>
          <w:t>Figure 3.4</w:t>
        </w:r>
      </w:hyperlink>
      <w:r>
        <w:t>); specifically, prevalence of infection in females was significantly correlated with male frequency while controlling for habitat (</w:t>
      </w:r>
      <m:oMath>
        <m:r>
          <w:rPr>
            <w:rFonts w:ascii="Latin Modern Math" w:hAnsi="Latin Modern Math"/>
          </w:rPr>
          <m:t>r</m:t>
        </m:r>
        <m:r>
          <m:rPr>
            <m:sty m:val="p"/>
          </m:rPr>
          <w:rPr>
            <w:rFonts w:ascii="Latin Modern Math" w:hAnsi="Latin Modern Math"/>
          </w:rPr>
          <m:t>=</m:t>
        </m:r>
        <m:r>
          <w:rPr>
            <w:rFonts w:ascii="Latin Modern Math" w:hAnsi="Latin Modern Math"/>
          </w:rPr>
          <m:t>0.37</m:t>
        </m:r>
      </m:oMath>
      <w:r>
        <w:t xml:space="preserve">, </w:t>
      </w:r>
      <m:oMath>
        <m:r>
          <w:rPr>
            <w:rFonts w:ascii="Latin Modern Math" w:hAnsi="Latin Modern Math"/>
          </w:rPr>
          <m:t>P</m:t>
        </m:r>
        <m:r>
          <m:rPr>
            <m:sty m:val="p"/>
          </m:rPr>
          <w:rPr>
            <w:rFonts w:ascii="Latin Modern Math" w:hAnsi="Latin Modern Math"/>
          </w:rPr>
          <m:t>&lt;</m:t>
        </m:r>
        <m:r>
          <w:rPr>
            <w:rFonts w:ascii="Latin Modern Math" w:hAnsi="Latin Modern Math"/>
          </w:rPr>
          <m:t>0.001</m:t>
        </m:r>
      </m:oMath>
      <w:r>
        <w:t>), but the converse was not true (</w:t>
      </w:r>
      <m:oMath>
        <m:r>
          <w:rPr>
            <w:rFonts w:ascii="Latin Modern Math" w:hAnsi="Latin Modern Math"/>
          </w:rPr>
          <m:t>r</m:t>
        </m:r>
        <m:r>
          <m:rPr>
            <m:sty m:val="p"/>
          </m:rPr>
          <w:rPr>
            <w:rFonts w:ascii="Latin Modern Math" w:hAnsi="Latin Modern Math"/>
          </w:rPr>
          <m:t>=</m:t>
        </m:r>
        <m:r>
          <w:rPr>
            <w:rFonts w:ascii="Latin Modern Math" w:hAnsi="Latin Modern Math"/>
          </w:rPr>
          <m:t>0.19</m:t>
        </m:r>
      </m:oMath>
      <w:r>
        <w:t xml:space="preserve">, </w:t>
      </w:r>
      <m:oMath>
        <m:r>
          <w:rPr>
            <w:rFonts w:ascii="Latin Modern Math" w:hAnsi="Latin Modern Math"/>
          </w:rPr>
          <m:t>P</m:t>
        </m:r>
        <m:r>
          <m:rPr>
            <m:sty m:val="p"/>
          </m:rPr>
          <w:rPr>
            <w:rFonts w:ascii="Latin Modern Math" w:hAnsi="Latin Modern Math"/>
          </w:rPr>
          <m:t>=</m:t>
        </m:r>
        <m:r>
          <w:rPr>
            <w:rFonts w:ascii="Latin Modern Math" w:hAnsi="Latin Modern Math"/>
          </w:rPr>
          <m:t>0.06</m:t>
        </m:r>
      </m:oMath>
      <w:r>
        <w:t>).</w:t>
      </w:r>
    </w:p>
  </w:footnote>
  <w:footnote w:id="37">
    <w:p w14:paraId="51F227C7" w14:textId="77777777" w:rsidR="00FD0189" w:rsidRDefault="00000000">
      <w:pPr>
        <w:pStyle w:val="FootnoteText"/>
      </w:pPr>
      <w:r>
        <w:rPr>
          <w:rStyle w:val="FootnoteReference"/>
        </w:rPr>
        <w:footnoteRef/>
      </w:r>
      <w:r>
        <w:t xml:space="preserve"> Using computer simulations, we recently found that detecting a significant positive correlation between clonal diversity and infection prevalence would only be expected in a fraction of parameter space, even when parasites were solely responsible for the maintenance of diversity (</w:t>
      </w:r>
      <w:hyperlink w:anchor="ref-lively2021a">
        <w:r>
          <w:rPr>
            <w:rStyle w:val="Hyperlink"/>
          </w:rPr>
          <w:t xml:space="preserve">Lively </w:t>
        </w:r>
        <w:r>
          <w:rPr>
            <w:rStyle w:val="Hyperlink"/>
            <w:i/>
            <w:iCs/>
          </w:rPr>
          <w:t>et al.</w:t>
        </w:r>
        <w:r>
          <w:rPr>
            <w:rStyle w:val="Hyperlink"/>
          </w:rPr>
          <w:t xml:space="preserve"> 2021</w:t>
        </w:r>
      </w:hyperlink>
      <w:r>
        <w:t>).</w:t>
      </w:r>
    </w:p>
  </w:footnote>
  <w:footnote w:id="38">
    <w:p w14:paraId="51ECF182" w14:textId="77777777" w:rsidR="00FD0189" w:rsidRDefault="00000000">
      <w:pPr>
        <w:pStyle w:val="FootnoteText"/>
      </w:pPr>
      <w:r>
        <w:rPr>
          <w:rStyle w:val="FootnoteReference"/>
        </w:rPr>
        <w:footnoteRef/>
      </w:r>
      <w:r>
        <w:t xml:space="preserve"> I will write much more about Jukka’s many contributions in the next volume.</w:t>
      </w:r>
    </w:p>
  </w:footnote>
  <w:footnote w:id="39">
    <w:p w14:paraId="09F9D781" w14:textId="77777777" w:rsidR="00FD0189" w:rsidRDefault="00000000">
      <w:pPr>
        <w:pStyle w:val="FootnoteText"/>
      </w:pPr>
      <w:r>
        <w:rPr>
          <w:rStyle w:val="FootnoteReference"/>
        </w:rPr>
        <w:footnoteRef/>
      </w:r>
      <w:r>
        <w:t xml:space="preserve"> </w:t>
      </w:r>
      <m:oMath>
        <m:r>
          <w:rPr>
            <w:rFonts w:ascii="Latin Modern Math" w:hAnsi="Latin Modern Math"/>
          </w:rPr>
          <m:t>r</m:t>
        </m:r>
        <m:r>
          <m:rPr>
            <m:sty m:val="p"/>
          </m:rPr>
          <w:rPr>
            <w:rFonts w:ascii="Latin Modern Math" w:hAnsi="Latin Modern Math"/>
          </w:rPr>
          <m:t>=</m:t>
        </m:r>
        <m:r>
          <w:rPr>
            <w:rFonts w:ascii="Latin Modern Math" w:hAnsi="Latin Modern Math"/>
          </w:rPr>
          <m:t>0.47</m:t>
        </m:r>
      </m:oMath>
      <w:r>
        <w:t xml:space="preserve">; </w:t>
      </w:r>
      <m:oMath>
        <m:r>
          <w:rPr>
            <w:rFonts w:ascii="Latin Modern Math" w:hAnsi="Latin Modern Math"/>
          </w:rPr>
          <m:t>P</m:t>
        </m:r>
        <m:r>
          <m:rPr>
            <m:sty m:val="p"/>
          </m:rPr>
          <w:rPr>
            <w:rFonts w:ascii="Latin Modern Math" w:hAnsi="Latin Modern Math"/>
          </w:rPr>
          <m:t>=</m:t>
        </m:r>
        <m:r>
          <w:rPr>
            <w:rFonts w:ascii="Latin Modern Math" w:hAnsi="Latin Modern Math"/>
          </w:rPr>
          <m:t>0.04</m:t>
        </m:r>
      </m:oMath>
      <w:r>
        <w:t xml:space="preserve"> for log</w:t>
      </w:r>
      <w:r>
        <w:rPr>
          <w:vertAlign w:val="subscript"/>
        </w:rPr>
        <w:t>10</w:t>
      </w:r>
      <w:r>
        <w:t xml:space="preserve"> transformed data; </w:t>
      </w:r>
      <m:oMath>
        <m:r>
          <w:rPr>
            <w:rFonts w:ascii="Latin Modern Math" w:hAnsi="Latin Modern Math"/>
          </w:rPr>
          <m:t>N</m:t>
        </m:r>
        <m:r>
          <m:rPr>
            <m:sty m:val="p"/>
          </m:rPr>
          <w:rPr>
            <w:rFonts w:ascii="Latin Modern Math" w:hAnsi="Latin Modern Math"/>
          </w:rPr>
          <m:t>=</m:t>
        </m:r>
        <m:r>
          <w:rPr>
            <w:rFonts w:ascii="Latin Modern Math" w:hAnsi="Latin Modern Math"/>
          </w:rPr>
          <m:t>20</m:t>
        </m:r>
      </m:oMath>
      <w:r>
        <w:t>.</w:t>
      </w:r>
    </w:p>
  </w:footnote>
  <w:footnote w:id="40">
    <w:p w14:paraId="50CD2A15" w14:textId="77777777" w:rsidR="00FD0189" w:rsidRDefault="00000000">
      <w:pPr>
        <w:pStyle w:val="FootnoteText"/>
      </w:pPr>
      <w:r>
        <w:rPr>
          <w:rStyle w:val="FootnoteReference"/>
        </w:rPr>
        <w:footnoteRef/>
      </w:r>
      <w:r>
        <w:t xml:space="preserve"> I think density dependence is critically important. Disease transmission is certainly density dependent (</w:t>
      </w:r>
      <w:hyperlink w:anchor="ref-anderson1979a">
        <w:r>
          <w:rPr>
            <w:rStyle w:val="Hyperlink"/>
          </w:rPr>
          <w:t>Anderson &amp; May 1979</w:t>
        </w:r>
      </w:hyperlink>
      <w:r>
        <w:t xml:space="preserve">; </w:t>
      </w:r>
      <w:hyperlink w:anchor="ref-may1979a">
        <w:r>
          <w:rPr>
            <w:rStyle w:val="Hyperlink"/>
          </w:rPr>
          <w:t>May &amp; Anderson 1979</w:t>
        </w:r>
      </w:hyperlink>
      <w:r>
        <w:t>). Virulence may also be density dependent (</w:t>
      </w:r>
      <w:hyperlink w:anchor="ref-bell2006a">
        <w:r>
          <w:rPr>
            <w:rStyle w:val="Hyperlink"/>
          </w:rPr>
          <w:t xml:space="preserve">Bell </w:t>
        </w:r>
        <w:r>
          <w:rPr>
            <w:rStyle w:val="Hyperlink"/>
            <w:i/>
            <w:iCs/>
          </w:rPr>
          <w:t>et al.</w:t>
        </w:r>
        <w:r>
          <w:rPr>
            <w:rStyle w:val="Hyperlink"/>
          </w:rPr>
          <w:t xml:space="preserve"> 2006</w:t>
        </w:r>
      </w:hyperlink>
      <w:r>
        <w:t xml:space="preserve">; </w:t>
      </w:r>
      <w:hyperlink w:anchor="ref-lively1995a">
        <w:r>
          <w:rPr>
            <w:rStyle w:val="Hyperlink"/>
          </w:rPr>
          <w:t xml:space="preserve">Lively </w:t>
        </w:r>
        <w:r>
          <w:rPr>
            <w:rStyle w:val="Hyperlink"/>
            <w:i/>
            <w:iCs/>
          </w:rPr>
          <w:t>et al.</w:t>
        </w:r>
        <w:r>
          <w:rPr>
            <w:rStyle w:val="Hyperlink"/>
          </w:rPr>
          <w:t xml:space="preserve"> 1995</w:t>
        </w:r>
      </w:hyperlink>
      <w:r>
        <w:t xml:space="preserve">; </w:t>
      </w:r>
      <w:hyperlink w:anchor="ref-lively2006a">
        <w:r>
          <w:rPr>
            <w:rStyle w:val="Hyperlink"/>
          </w:rPr>
          <w:t>Lively 2006</w:t>
        </w:r>
      </w:hyperlink>
      <w:r>
        <w:t>). Habitat partitioning may also play a role in the distribution of sexual females among depth-stratified habitats (</w:t>
      </w:r>
      <w:proofErr w:type="spellStart"/>
      <w:r>
        <w:fldChar w:fldCharType="begin"/>
      </w:r>
      <w:r>
        <w:instrText>HYPERLINK \l "ref-negovetic2001a" \h</w:instrText>
      </w:r>
      <w:r>
        <w:fldChar w:fldCharType="separate"/>
      </w:r>
      <w:r>
        <w:rPr>
          <w:rStyle w:val="Hyperlink"/>
        </w:rPr>
        <w:t>Negovetic</w:t>
      </w:r>
      <w:proofErr w:type="spellEnd"/>
      <w:r>
        <w:rPr>
          <w:rStyle w:val="Hyperlink"/>
        </w:rPr>
        <w:t xml:space="preserve"> &amp; Jokela 2001</w:t>
      </w:r>
      <w:r>
        <w:rPr>
          <w:rStyle w:val="Hyperlink"/>
        </w:rPr>
        <w:fldChar w:fldCharType="end"/>
      </w:r>
      <w:r>
        <w:t>).</w:t>
      </w:r>
    </w:p>
  </w:footnote>
  <w:footnote w:id="41">
    <w:p w14:paraId="69D446A3" w14:textId="77777777" w:rsidR="00FD0189" w:rsidRDefault="00000000">
      <w:pPr>
        <w:pStyle w:val="FootnoteText"/>
      </w:pPr>
      <w:r>
        <w:rPr>
          <w:rStyle w:val="FootnoteReference"/>
        </w:rPr>
        <w:footnoteRef/>
      </w:r>
      <w:r>
        <w:t xml:space="preserve"> “Parameter space” represents all possible combinations of variables as defined by the model. In </w:t>
      </w:r>
      <w:hyperlink w:anchor="sec-app-3">
        <w:r>
          <w:rPr>
            <w:rStyle w:val="Hyperlink"/>
          </w:rPr>
          <w:t>Section 3.4</w:t>
        </w:r>
      </w:hyperlink>
      <w:r>
        <w:t>, different strategies are favored for different combinations of variables (i.e., different parts of the parameter space).</w:t>
      </w:r>
    </w:p>
  </w:footnote>
  <w:footnote w:id="42">
    <w:p w14:paraId="0FA6C158" w14:textId="77777777" w:rsidR="00FD0189" w:rsidRDefault="00000000">
      <w:pPr>
        <w:pStyle w:val="FootnoteText"/>
      </w:pPr>
      <w:r>
        <w:rPr>
          <w:rStyle w:val="FootnoteReference"/>
        </w:rPr>
        <w:footnoteRef/>
      </w:r>
      <w:r>
        <w:t xml:space="preserve"> The trematode worm was not formally described until 30 years later (</w:t>
      </w:r>
      <w:proofErr w:type="spellStart"/>
      <w:r>
        <w:fldChar w:fldCharType="begin"/>
      </w:r>
      <w:r>
        <w:instrText>HYPERLINK \l "ref-blasco-costa2019a" \h</w:instrText>
      </w:r>
      <w:r>
        <w:fldChar w:fldCharType="separate"/>
      </w:r>
      <w:r>
        <w:rPr>
          <w:rStyle w:val="Hyperlink"/>
        </w:rPr>
        <w:t>Blasco</w:t>
      </w:r>
      <w:proofErr w:type="spellEnd"/>
      <w:r>
        <w:rPr>
          <w:rStyle w:val="Hyperlink"/>
        </w:rPr>
        <w:t xml:space="preserve">-Costa </w:t>
      </w:r>
      <w:r>
        <w:rPr>
          <w:rStyle w:val="Hyperlink"/>
          <w:i/>
          <w:iCs/>
        </w:rPr>
        <w:t>et al.</w:t>
      </w:r>
      <w:r>
        <w:rPr>
          <w:rStyle w:val="Hyperlink"/>
        </w:rPr>
        <w:t xml:space="preserve"> 2019</w:t>
      </w:r>
      <w:r>
        <w:rPr>
          <w:rStyle w:val="Hyperlink"/>
        </w:rPr>
        <w:fldChar w:fldCharType="end"/>
      </w:r>
      <w:r>
        <w:t xml:space="preserve">). As it turns out, it belongs in the genus </w:t>
      </w:r>
      <w:r>
        <w:rPr>
          <w:i/>
          <w:iCs/>
        </w:rPr>
        <w:t>Atriophallophorus</w:t>
      </w:r>
      <w:r>
        <w:t xml:space="preserve">, rather than </w:t>
      </w:r>
      <w:r>
        <w:rPr>
          <w:i/>
          <w:iCs/>
        </w:rPr>
        <w:t>Microphallus</w:t>
      </w:r>
      <w:r>
        <w:t xml:space="preserve">, and it was very appropriately named after Mike Winterbourn: </w:t>
      </w:r>
      <w:r>
        <w:rPr>
          <w:i/>
          <w:iCs/>
        </w:rPr>
        <w:t>A. winterbourni</w:t>
      </w:r>
      <w:r>
        <w:t xml:space="preserve">. But I am going to call it </w:t>
      </w:r>
      <w:r>
        <w:rPr>
          <w:i/>
          <w:iCs/>
        </w:rPr>
        <w:t>Microphallus</w:t>
      </w:r>
      <w:r>
        <w:t xml:space="preserve"> in this book, as that is what we called it in our early papers.</w:t>
      </w:r>
    </w:p>
  </w:footnote>
  <w:footnote w:id="43">
    <w:p w14:paraId="0B54168D" w14:textId="77777777" w:rsidR="00FD0189" w:rsidRDefault="00000000">
      <w:pPr>
        <w:pStyle w:val="FootnoteText"/>
      </w:pPr>
      <w:r>
        <w:rPr>
          <w:rStyle w:val="FootnoteReference"/>
        </w:rPr>
        <w:footnoteRef/>
      </w:r>
      <w:r>
        <w:t xml:space="preserve"> Dieter Ebert showed that parasites of </w:t>
      </w:r>
      <w:r>
        <w:rPr>
          <w:i/>
          <w:iCs/>
        </w:rPr>
        <w:t>Daphnia</w:t>
      </w:r>
      <w:r>
        <w:t xml:space="preserve"> were locally adapted for both infectivity and transmission, which was a major advance.</w:t>
      </w:r>
    </w:p>
  </w:footnote>
  <w:footnote w:id="44">
    <w:p w14:paraId="33F1E0F0" w14:textId="77777777" w:rsidR="00FD0189" w:rsidRDefault="00000000">
      <w:pPr>
        <w:pStyle w:val="FootnoteText"/>
      </w:pPr>
      <w:r>
        <w:rPr>
          <w:rStyle w:val="FootnoteReference"/>
        </w:rPr>
        <w:footnoteRef/>
      </w:r>
      <w:r>
        <w:t xml:space="preserve"> In direct contrast, however, Oka found that cross-fertilization did not occur between </w:t>
      </w:r>
      <w:r>
        <w:rPr>
          <w:i/>
          <w:iCs/>
        </w:rPr>
        <w:t>Botryllus</w:t>
      </w:r>
      <w:r>
        <w:t xml:space="preserve"> gametes that shared the same allele. As Oka noted, this result mirrors the S-allele system in plants: “The … situation corresponds exactly in its form to the homomorphic self-incompatibility prevailing among angiosperms.”</w:t>
      </w:r>
    </w:p>
  </w:footnote>
  <w:footnote w:id="45">
    <w:p w14:paraId="614F1620" w14:textId="77777777" w:rsidR="00FD0189" w:rsidRDefault="00000000">
      <w:pPr>
        <w:pStyle w:val="FootnoteText"/>
      </w:pPr>
      <w:r>
        <w:rPr>
          <w:rStyle w:val="FootnoteReference"/>
        </w:rPr>
        <w:footnoteRef/>
      </w:r>
      <w:r>
        <w:t xml:space="preserve"> Paternal leakage of DNA in otherwise asexual vertebrate species now seems possible (review in </w:t>
      </w:r>
      <w:hyperlink w:anchor="ref-lampert2010a">
        <w:r>
          <w:rPr>
            <w:rStyle w:val="Hyperlink"/>
          </w:rPr>
          <w:t xml:space="preserve">Lampert &amp; </w:t>
        </w:r>
        <w:proofErr w:type="spellStart"/>
        <w:r>
          <w:rPr>
            <w:rStyle w:val="Hyperlink"/>
          </w:rPr>
          <w:t>Schartl</w:t>
        </w:r>
        <w:proofErr w:type="spellEnd"/>
        <w:r>
          <w:rPr>
            <w:rStyle w:val="Hyperlink"/>
          </w:rPr>
          <w:t xml:space="preserve"> 2010</w:t>
        </w:r>
      </w:hyperlink>
      <w:r>
        <w:t>).</w:t>
      </w:r>
    </w:p>
  </w:footnote>
  <w:footnote w:id="46">
    <w:p w14:paraId="3210B9A5" w14:textId="77777777" w:rsidR="00FD0189" w:rsidRDefault="00000000">
      <w:pPr>
        <w:pStyle w:val="FootnoteText"/>
      </w:pPr>
      <w:r>
        <w:rPr>
          <w:rStyle w:val="FootnoteReference"/>
        </w:rPr>
        <w:footnoteRef/>
      </w:r>
      <w:r>
        <w:t xml:space="preserve"> In a follow-up study (using different samples), Steve Weeks (</w:t>
      </w:r>
      <w:hyperlink w:anchor="ref-weeks1996a">
        <w:r>
          <w:rPr>
            <w:rStyle w:val="Hyperlink"/>
          </w:rPr>
          <w:t>1996</w:t>
        </w:r>
      </w:hyperlink>
      <w:r>
        <w:t>) did not find some of our significant effects. His sample sizes, however, were small, suggesting that his power to detect differences was low.</w:t>
      </w:r>
    </w:p>
  </w:footnote>
  <w:footnote w:id="47">
    <w:p w14:paraId="46AEB79F" w14:textId="77777777" w:rsidR="00FD0189" w:rsidRDefault="00000000">
      <w:pPr>
        <w:pStyle w:val="FootnoteText"/>
      </w:pPr>
      <w:r>
        <w:rPr>
          <w:rStyle w:val="FootnoteReference"/>
        </w:rPr>
        <w:footnoteRef/>
      </w:r>
      <w:r>
        <w:t xml:space="preserve"> It is important to point out that we were not claiming that parasite-mediated selection is maintaining sex in this system. For example, we wrote, “[W]e do not intend to imply from this analysis that the trematode is selecting for the maintenance of sex in these fish.” Niche partitioning and/or the sperm-dependence of the gynogenetic females would most likely ensure the persistence of sexual individuals (</w:t>
      </w:r>
      <w:hyperlink w:anchor="ref-moore1971a">
        <w:r>
          <w:rPr>
            <w:rStyle w:val="Hyperlink"/>
          </w:rPr>
          <w:t>Moore &amp; McKay 1971</w:t>
        </w:r>
      </w:hyperlink>
      <w:r>
        <w:t xml:space="preserve">; </w:t>
      </w:r>
      <w:hyperlink w:anchor="ref-Schenck1986a">
        <w:r>
          <w:rPr>
            <w:rStyle w:val="Hyperlink"/>
          </w:rPr>
          <w:t xml:space="preserve">Schenck &amp; </w:t>
        </w:r>
        <w:proofErr w:type="spellStart"/>
        <w:r>
          <w:rPr>
            <w:rStyle w:val="Hyperlink"/>
          </w:rPr>
          <w:t>Vrijenhoek</w:t>
        </w:r>
        <w:proofErr w:type="spellEnd"/>
        <w:r>
          <w:rPr>
            <w:rStyle w:val="Hyperlink"/>
          </w:rPr>
          <w:t xml:space="preserve"> 1986</w:t>
        </w:r>
      </w:hyperlink>
      <w:r>
        <w:t>). Our claim was simply that parasites had evolved to disproportionately infect the most common clone unless the sexual population was highly inbred.</w:t>
      </w:r>
    </w:p>
  </w:footnote>
  <w:footnote w:id="48">
    <w:p w14:paraId="37C72FF2" w14:textId="77777777" w:rsidR="00FD0189" w:rsidRDefault="00000000">
      <w:pPr>
        <w:pStyle w:val="FootnoteText"/>
      </w:pPr>
      <w:r>
        <w:rPr>
          <w:rStyle w:val="FootnoteReference"/>
        </w:rPr>
        <w:footnoteRef/>
      </w:r>
      <w:r>
        <w:t xml:space="preserve"> May and Anderson, for example, state, “Our studies, in which the epidemiological details of the parasite–host interactions are treated more explicitly than in Hamilton’s work, make this [the parasite] answer to the problem of sex (</w:t>
      </w:r>
      <w:proofErr w:type="spellStart"/>
      <w:r>
        <w:fldChar w:fldCharType="begin"/>
      </w:r>
      <w:r>
        <w:instrText>HYPERLINK \l "ref-ghiselin1974a" \h</w:instrText>
      </w:r>
      <w:r>
        <w:fldChar w:fldCharType="separate"/>
      </w:r>
      <w:r>
        <w:rPr>
          <w:rStyle w:val="Hyperlink"/>
        </w:rPr>
        <w:t>Ghiselin</w:t>
      </w:r>
      <w:proofErr w:type="spellEnd"/>
      <w:r>
        <w:rPr>
          <w:rStyle w:val="Hyperlink"/>
        </w:rPr>
        <w:t xml:space="preserve"> 1974</w:t>
      </w:r>
      <w:r>
        <w:rPr>
          <w:rStyle w:val="Hyperlink"/>
        </w:rPr>
        <w:fldChar w:fldCharType="end"/>
      </w:r>
      <w:r>
        <w:t xml:space="preserve">; </w:t>
      </w:r>
      <w:hyperlink w:anchor="ref-maynard1978a">
        <w:r>
          <w:rPr>
            <w:rStyle w:val="Hyperlink"/>
          </w:rPr>
          <w:t>Maynard Smith 1978</w:t>
        </w:r>
      </w:hyperlink>
      <w:r>
        <w:t xml:space="preserve">; </w:t>
      </w:r>
      <w:hyperlink w:anchor="ref-williams1975a">
        <w:r>
          <w:rPr>
            <w:rStyle w:val="Hyperlink"/>
          </w:rPr>
          <w:t>Williams 1975</w:t>
        </w:r>
      </w:hyperlink>
      <w:r>
        <w:t>) less likely.”</w:t>
      </w:r>
    </w:p>
  </w:footnote>
  <w:footnote w:id="49">
    <w:p w14:paraId="6F8720F1" w14:textId="77777777" w:rsidR="00FD0189" w:rsidRDefault="00000000">
      <w:pPr>
        <w:pStyle w:val="FootnoteText"/>
      </w:pPr>
      <w:r>
        <w:rPr>
          <w:rStyle w:val="FootnoteReference"/>
        </w:rPr>
        <w:footnoteRef/>
      </w:r>
      <w:r>
        <w:t xml:space="preserve"> In a computer simulation, a sexual population with eight possible genotypes (three locus haploid model with two alleles each) was rapidly replaced by two randomly selected clonal genotypes. The first clone was introduced at time one, and it began oscillating with the sexual population. The second clone was introduced at time 100. It began oscillating out of phase with the first clone. The sexual population was driven to extinction by generation 150 (</w:t>
      </w:r>
      <w:hyperlink w:anchor="ref-lively1994a">
        <w:r>
          <w:rPr>
            <w:rStyle w:val="Hyperlink"/>
          </w:rPr>
          <w:t>Lively &amp; Howard 1994</w:t>
        </w:r>
      </w:hyperlink>
      <w:r>
        <w:t>). Thus, sexual reproduction may not be stable to invasion and replacement by a diverse clonal population.</w:t>
      </w:r>
    </w:p>
  </w:footnote>
  <w:footnote w:id="50">
    <w:p w14:paraId="2E07A913" w14:textId="77777777" w:rsidR="00FD0189" w:rsidRDefault="00000000">
      <w:pPr>
        <w:pStyle w:val="FootnoteText"/>
      </w:pPr>
      <w:r>
        <w:rPr>
          <w:rStyle w:val="FootnoteReference"/>
        </w:rPr>
        <w:footnoteRef/>
      </w:r>
      <w:r>
        <w:t xml:space="preserve"> From </w:t>
      </w:r>
      <w:proofErr w:type="spellStart"/>
      <w:r>
        <w:t>Felsenstein</w:t>
      </w:r>
      <w:proofErr w:type="spellEnd"/>
      <w:r>
        <w:t xml:space="preserve"> (</w:t>
      </w:r>
      <w:hyperlink w:anchor="ref-felsenstein1974a">
        <w:r>
          <w:rPr>
            <w:rStyle w:val="Hyperlink"/>
          </w:rPr>
          <w:t>1974</w:t>
        </w:r>
      </w:hyperlink>
      <w:r>
        <w:t>): “I will not attempt here to predict from theory the quantitative effect of the ratchet mechanism. Involving natural selection, mutation, and genetic drift at many linked loci, the problem poses enormous difficulties for the application of population genetics theory. But the possible significance of the phenomenon makes it important that some theoretical treatment should be attempted. The ratchet mechanism has been unjustly ignored by theoretical population genetics.”</w:t>
      </w:r>
    </w:p>
  </w:footnote>
  <w:footnote w:id="51">
    <w:p w14:paraId="76EE0A8D" w14:textId="77777777" w:rsidR="00FD0189" w:rsidRDefault="00000000">
      <w:pPr>
        <w:pStyle w:val="FootnoteText"/>
      </w:pPr>
      <w:r>
        <w:rPr>
          <w:rStyle w:val="FootnoteReference"/>
        </w:rPr>
        <w:footnoteRef/>
      </w:r>
      <w:r>
        <w:t xml:space="preserve"> After the proofs were corrected and returned, the shading was washed out in Figures 1 and 2. Even worse, the panels were reversed for Figure 3. The corrected figures were reprinted in Howard and Lively (</w:t>
      </w:r>
      <w:hyperlink w:anchor="ref-howard1994b">
        <w:r>
          <w:rPr>
            <w:rStyle w:val="Hyperlink"/>
          </w:rPr>
          <w:t>1994a</w:t>
        </w:r>
      </w:hyperlink>
      <w:r>
        <w:t>).</w:t>
      </w:r>
    </w:p>
  </w:footnote>
  <w:footnote w:id="52">
    <w:p w14:paraId="2517BC75" w14:textId="77777777" w:rsidR="00FD0189" w:rsidRDefault="00000000">
      <w:pPr>
        <w:pStyle w:val="FootnoteText"/>
      </w:pPr>
      <w:r>
        <w:rPr>
          <w:rStyle w:val="FootnoteReference"/>
        </w:rPr>
        <w:footnoteRef/>
      </w:r>
      <w:r>
        <w:t xml:space="preserve"> Mutational meltdown in clones occurs when their intrinsic birth rates are near one, meaning that the females are just barely replacing themselves. This then keeps the clonal population small, which also keeps the least-loaded class small, thereby aiding the ratchet. Once the intrinsic birth rate drops below one, the clone will go extinct.</w:t>
      </w:r>
    </w:p>
  </w:footnote>
  <w:footnote w:id="53">
    <w:p w14:paraId="1AA5AA73" w14:textId="77777777" w:rsidR="00FD0189" w:rsidRDefault="00000000">
      <w:pPr>
        <w:pStyle w:val="FootnoteText"/>
      </w:pPr>
      <w:r>
        <w:rPr>
          <w:rStyle w:val="FootnoteReference"/>
        </w:rPr>
        <w:footnoteRef/>
      </w:r>
      <w:r>
        <w:t xml:space="preserve"> “Virulence” is defined here as the effect that infection has on host fitness. For example, a virulence value of 1.0 indicates that infection kills or sterilizes the host. A virulence of 0.1 indicates that infection reduces host fitness by 10%.</w:t>
      </w:r>
    </w:p>
  </w:footnote>
  <w:footnote w:id="54">
    <w:p w14:paraId="6088BE5D" w14:textId="77777777" w:rsidR="00FD0189" w:rsidRDefault="00000000">
      <w:pPr>
        <w:pStyle w:val="FootnoteText"/>
      </w:pPr>
      <w:r>
        <w:rPr>
          <w:rStyle w:val="FootnoteReference"/>
        </w:rPr>
        <w:footnoteRef/>
      </w:r>
      <w:r>
        <w:t xml:space="preserve"> Steve followed this initial study with a simulation study of mutation accumulation in a Red Queen world but changing the assumption from independent effects of mutations to synergistic effects of mutations (</w:t>
      </w:r>
      <w:hyperlink w:anchor="ref-howard1998a">
        <w:r>
          <w:rPr>
            <w:rStyle w:val="Hyperlink"/>
          </w:rPr>
          <w:t>Howard &amp; Lively 1998</w:t>
        </w:r>
      </w:hyperlink>
      <w:r>
        <w:t>). The results were similar, provided the clonal population has not come into mutation-selection balance.</w:t>
      </w:r>
    </w:p>
  </w:footnote>
  <w:footnote w:id="55">
    <w:p w14:paraId="78FBE5A6" w14:textId="77777777" w:rsidR="00FD0189" w:rsidRDefault="00000000">
      <w:pPr>
        <w:pStyle w:val="FootnoteText"/>
      </w:pPr>
      <w:r>
        <w:rPr>
          <w:rStyle w:val="FootnoteReference"/>
        </w:rPr>
        <w:footnoteRef/>
      </w:r>
      <w:r>
        <w:t xml:space="preserve"> I heard this kind of thing called “group-hug pluralism” at a meeting of philosophers in Berlin in 2022. In any case, our fusion of the ratchet and the Red Queen was based on logic rather than any sort of craving for hugs.</w:t>
      </w:r>
    </w:p>
  </w:footnote>
  <w:footnote w:id="56">
    <w:p w14:paraId="72A618C6" w14:textId="77777777" w:rsidR="00FD0189" w:rsidRDefault="00000000">
      <w:pPr>
        <w:pStyle w:val="FootnoteText"/>
      </w:pPr>
      <w:r>
        <w:rPr>
          <w:rStyle w:val="FootnoteReference"/>
        </w:rPr>
        <w:footnoteRef/>
      </w:r>
      <w:r>
        <w:t xml:space="preserve"> Professor Hamilton told me at a meeting in London that he thought combining the ratchet and the Red Queen made sense, but that he did not think the ratchet was a necessary addition. See also the dissertation work by Olivia Judson for a detailed theoretical study of coexistence between sexuals and asexuals in a metapopulation (</w:t>
      </w:r>
      <w:hyperlink w:anchor="ref-judson1997a">
        <w:r>
          <w:rPr>
            <w:rStyle w:val="Hyperlink"/>
          </w:rPr>
          <w:t>Judson 1997</w:t>
        </w:r>
      </w:hyperlink>
      <w:r>
        <w:t>).</w:t>
      </w:r>
    </w:p>
  </w:footnote>
  <w:footnote w:id="57">
    <w:p w14:paraId="69114D5A" w14:textId="77777777" w:rsidR="00FD0189" w:rsidRDefault="00000000">
      <w:pPr>
        <w:pStyle w:val="FootnoteText"/>
      </w:pPr>
      <w:r>
        <w:rPr>
          <w:rStyle w:val="FootnoteReference"/>
        </w:rPr>
        <w:footnoteRef/>
      </w:r>
      <w:r>
        <w:t xml:space="preserve"> Direct evidence in support of this assumption comes from recent studies of water fleas and their bacterial pathogens (</w:t>
      </w:r>
      <w:hyperlink w:anchor="ref-bento2017a">
        <w:r>
          <w:rPr>
            <w:rStyle w:val="Hyperlink"/>
          </w:rPr>
          <w:t xml:space="preserve">Bento </w:t>
        </w:r>
        <w:r>
          <w:rPr>
            <w:rStyle w:val="Hyperlink"/>
            <w:i/>
            <w:iCs/>
          </w:rPr>
          <w:t>et al.</w:t>
        </w:r>
        <w:r>
          <w:rPr>
            <w:rStyle w:val="Hyperlink"/>
          </w:rPr>
          <w:t xml:space="preserve"> 2017</w:t>
        </w:r>
      </w:hyperlink>
      <w:r>
        <w:t xml:space="preserve">; </w:t>
      </w:r>
      <w:hyperlink w:anchor="ref-dexter2023a">
        <w:r>
          <w:rPr>
            <w:rStyle w:val="Hyperlink"/>
          </w:rPr>
          <w:t xml:space="preserve">Dexter </w:t>
        </w:r>
        <w:r>
          <w:rPr>
            <w:rStyle w:val="Hyperlink"/>
            <w:i/>
            <w:iCs/>
          </w:rPr>
          <w:t>et al.</w:t>
        </w:r>
        <w:r>
          <w:rPr>
            <w:rStyle w:val="Hyperlink"/>
          </w:rPr>
          <w:t xml:space="preserve"> 2023</w:t>
        </w:r>
      </w:hyperlink>
      <w: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DCB8288E"/>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5A166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3C94475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6B283CCE"/>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2D8E2040"/>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8A4AE4CE"/>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31C47D90"/>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1D34AD7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83B430F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E7DA546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00A990"/>
    <w:multiLevelType w:val="multilevel"/>
    <w:tmpl w:val="DA0EF7F0"/>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11" w15:restartNumberingAfterBreak="0">
    <w:nsid w:val="0000A991"/>
    <w:multiLevelType w:val="multilevel"/>
    <w:tmpl w:val="361C21F6"/>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12" w15:restartNumberingAfterBreak="0">
    <w:nsid w:val="00A99411"/>
    <w:multiLevelType w:val="multilevel"/>
    <w:tmpl w:val="61661F40"/>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13" w15:restartNumberingAfterBreak="0">
    <w:nsid w:val="170CD2DE"/>
    <w:multiLevelType w:val="multilevel"/>
    <w:tmpl w:val="03A2A994"/>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lvl w:ilvl="7">
      <w:numFmt w:val="bullet"/>
      <w:lvlText w:val=" "/>
      <w:lvlJc w:val="left"/>
      <w:pPr>
        <w:tabs>
          <w:tab w:val="num" w:pos="5040"/>
        </w:tabs>
        <w:ind w:left="5520" w:hanging="480"/>
      </w:pPr>
    </w:lvl>
    <w:lvl w:ilvl="8">
      <w:numFmt w:val="bullet"/>
      <w:lvlText w:val=" "/>
      <w:lvlJc w:val="left"/>
      <w:pPr>
        <w:tabs>
          <w:tab w:val="num" w:pos="5760"/>
        </w:tabs>
        <w:ind w:left="6240" w:hanging="480"/>
      </w:pPr>
    </w:lvl>
  </w:abstractNum>
  <w:num w:numId="1" w16cid:durableId="1938637745">
    <w:abstractNumId w:val="13"/>
  </w:num>
  <w:num w:numId="2" w16cid:durableId="66079593">
    <w:abstractNumId w:val="9"/>
  </w:num>
  <w:num w:numId="3" w16cid:durableId="1964731700">
    <w:abstractNumId w:val="7"/>
  </w:num>
  <w:num w:numId="4" w16cid:durableId="167598709">
    <w:abstractNumId w:val="6"/>
  </w:num>
  <w:num w:numId="5" w16cid:durableId="1074088519">
    <w:abstractNumId w:val="5"/>
  </w:num>
  <w:num w:numId="6" w16cid:durableId="1991246088">
    <w:abstractNumId w:val="4"/>
  </w:num>
  <w:num w:numId="7" w16cid:durableId="1526554239">
    <w:abstractNumId w:val="8"/>
  </w:num>
  <w:num w:numId="8" w16cid:durableId="1389957010">
    <w:abstractNumId w:val="3"/>
  </w:num>
  <w:num w:numId="9" w16cid:durableId="1079643576">
    <w:abstractNumId w:val="2"/>
  </w:num>
  <w:num w:numId="10" w16cid:durableId="1775053471">
    <w:abstractNumId w:val="1"/>
  </w:num>
  <w:num w:numId="11" w16cid:durableId="575363467">
    <w:abstractNumId w:val="0"/>
  </w:num>
  <w:num w:numId="12" w16cid:durableId="265892496">
    <w:abstractNumId w:val="10"/>
  </w:num>
  <w:num w:numId="13" w16cid:durableId="602080546">
    <w:abstractNumId w:val="11"/>
  </w:num>
  <w:num w:numId="14" w16cid:durableId="1206408017">
    <w:abstractNumId w:val="11"/>
  </w:num>
  <w:num w:numId="15" w16cid:durableId="359745019">
    <w:abstractNumId w:val="11"/>
  </w:num>
  <w:num w:numId="16" w16cid:durableId="964771531">
    <w:abstractNumId w:val="11"/>
  </w:num>
  <w:num w:numId="17" w16cid:durableId="766997860">
    <w:abstractNumId w:val="11"/>
  </w:num>
  <w:num w:numId="18" w16cid:durableId="1630158975">
    <w:abstractNumId w:val="11"/>
  </w:num>
  <w:num w:numId="19" w16cid:durableId="2144227584">
    <w:abstractNumId w:val="11"/>
  </w:num>
  <w:num w:numId="20" w16cid:durableId="792403429">
    <w:abstractNumId w:val="11"/>
  </w:num>
  <w:num w:numId="21" w16cid:durableId="389036220">
    <w:abstractNumId w:val="11"/>
  </w:num>
  <w:num w:numId="22" w16cid:durableId="476649682">
    <w:abstractNumId w:val="11"/>
  </w:num>
  <w:num w:numId="23" w16cid:durableId="1033926357">
    <w:abstractNumId w:val="11"/>
  </w:num>
  <w:num w:numId="24" w16cid:durableId="1287345972">
    <w:abstractNumId w:val="11"/>
  </w:num>
  <w:num w:numId="25" w16cid:durableId="28142685">
    <w:abstractNumId w:val="11"/>
  </w:num>
  <w:num w:numId="26" w16cid:durableId="456266559">
    <w:abstractNumId w:val="11"/>
  </w:num>
  <w:num w:numId="27" w16cid:durableId="130681157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2498980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31846150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8823993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85259919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806047884">
    <w:abstractNumId w:val="11"/>
  </w:num>
  <w:num w:numId="33" w16cid:durableId="196064821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76325976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647395616">
    <w:abstractNumId w:val="11"/>
  </w:num>
  <w:num w:numId="36" w16cid:durableId="13214308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219"/>
  <w:embedSystemFonts/>
  <w:proofState w:spelling="clean"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oNotTrackMoves/>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0189"/>
    <w:rsid w:val="0007500C"/>
    <w:rsid w:val="00142657"/>
    <w:rsid w:val="00180166"/>
    <w:rsid w:val="00433225"/>
    <w:rsid w:val="00445EE2"/>
    <w:rsid w:val="007D0981"/>
    <w:rsid w:val="008A7CAE"/>
    <w:rsid w:val="00F53196"/>
    <w:rsid w:val="00FD0189"/>
  </w:rsids>
  <m:mathPr>
    <m:mathFont m:val="Latin Modern Math"/>
    <m:brkBin m:val="before"/>
    <m:brkBinSub m:val="--"/>
    <m:smallFrac/>
    <m:dispDef/>
    <m:lMargin m:val="0"/>
    <m:rMargin m:val="0"/>
    <m:defJc m:val="centerGroup"/>
    <m:wrapRight/>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6BEC84"/>
  <w15:docId w15:val="{4F6D17E8-BA9E-436B-8C71-81BA553E9B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6">
    <w:lsdException w:name="heading 5"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E118B"/>
  </w:style>
  <w:style w:type="paragraph" w:styleId="Heading1">
    <w:name w:val="heading 1"/>
    <w:basedOn w:val="Normal"/>
    <w:next w:val="BodyText"/>
    <w:autoRedefine/>
    <w:uiPriority w:val="9"/>
    <w:qFormat/>
    <w:rsid w:val="00477629"/>
    <w:pPr>
      <w:keepNext/>
      <w:keepLines/>
      <w:pageBreakBefore/>
      <w:spacing w:before="480" w:after="0"/>
      <w:outlineLvl w:val="0"/>
    </w:pPr>
    <w:rPr>
      <w:rFonts w:ascii="ETBembo" w:eastAsiaTheme="majorEastAsia" w:hAnsi="ETBembo" w:cstheme="majorBidi"/>
      <w:bCs/>
      <w:i/>
      <w:color w:val="000000" w:themeColor="text1"/>
      <w:sz w:val="32"/>
      <w:szCs w:val="32"/>
    </w:rPr>
  </w:style>
  <w:style w:type="paragraph" w:styleId="Heading2">
    <w:name w:val="heading 2"/>
    <w:basedOn w:val="Normal"/>
    <w:next w:val="BodyText"/>
    <w:uiPriority w:val="9"/>
    <w:unhideWhenUsed/>
    <w:qFormat/>
    <w:rsid w:val="00914C4D"/>
    <w:pPr>
      <w:keepNext/>
      <w:keepLines/>
      <w:spacing w:before="200" w:after="0"/>
      <w:outlineLvl w:val="1"/>
    </w:pPr>
    <w:rPr>
      <w:rFonts w:ascii="ETBembo" w:eastAsiaTheme="majorEastAsia" w:hAnsi="ETBembo" w:cstheme="majorBidi"/>
      <w:b/>
      <w:bCs/>
      <w:color w:val="000000" w:themeColor="text1"/>
      <w:sz w:val="28"/>
      <w:szCs w:val="28"/>
    </w:rPr>
  </w:style>
  <w:style w:type="paragraph" w:styleId="Heading3">
    <w:name w:val="heading 3"/>
    <w:basedOn w:val="Normal"/>
    <w:next w:val="BodyText"/>
    <w:autoRedefine/>
    <w:uiPriority w:val="9"/>
    <w:unhideWhenUsed/>
    <w:qFormat/>
    <w:rsid w:val="00914C4D"/>
    <w:pPr>
      <w:keepNext/>
      <w:keepLines/>
      <w:spacing w:before="200" w:after="0"/>
      <w:outlineLvl w:val="2"/>
    </w:pPr>
    <w:rPr>
      <w:rFonts w:ascii="ETBembo" w:eastAsiaTheme="majorEastAsia" w:hAnsi="ETBembo" w:cstheme="majorBidi"/>
      <w:b/>
      <w:bCs/>
      <w:color w:val="000000" w:themeColor="text1"/>
    </w:rPr>
  </w:style>
  <w:style w:type="paragraph" w:styleId="Heading4">
    <w:name w:val="heading 4"/>
    <w:basedOn w:val="Normal"/>
    <w:next w:val="BodyText"/>
    <w:autoRedefine/>
    <w:uiPriority w:val="9"/>
    <w:unhideWhenUsed/>
    <w:qFormat/>
    <w:rsid w:val="0058271D"/>
    <w:pPr>
      <w:keepNext/>
      <w:keepLines/>
      <w:spacing w:before="200" w:after="0"/>
      <w:outlineLvl w:val="3"/>
    </w:pPr>
    <w:rPr>
      <w:rFonts w:ascii="ETBembo" w:eastAsiaTheme="majorEastAsia" w:hAnsi="ETBembo" w:cstheme="majorBidi"/>
      <w:b/>
      <w:iCs/>
      <w:color w:val="000000" w:themeColor="text1"/>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Cs/>
      <w:color w:val="4F81BD" w:themeColor="accent1"/>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rPr>
  </w:style>
  <w:style w:type="paragraph" w:styleId="Heading7">
    <w:name w:val="heading 7"/>
    <w:basedOn w:val="Normal"/>
    <w:next w:val="BodyText"/>
    <w:uiPriority w:val="9"/>
    <w:unhideWhenUsed/>
    <w:qFormat/>
    <w:pPr>
      <w:keepNext/>
      <w:keepLines/>
      <w:spacing w:before="200" w:after="0"/>
      <w:outlineLvl w:val="6"/>
    </w:pPr>
    <w:rPr>
      <w:rFonts w:asciiTheme="majorHAnsi" w:eastAsiaTheme="majorEastAsia" w:hAnsiTheme="majorHAnsi" w:cstheme="majorBidi"/>
      <w:color w:val="4F81BD" w:themeColor="accent1"/>
    </w:rPr>
  </w:style>
  <w:style w:type="paragraph" w:styleId="Heading8">
    <w:name w:val="heading 8"/>
    <w:basedOn w:val="Normal"/>
    <w:next w:val="BodyText"/>
    <w:uiPriority w:val="9"/>
    <w:unhideWhenUsed/>
    <w:qFormat/>
    <w:pPr>
      <w:keepNext/>
      <w:keepLines/>
      <w:spacing w:before="200" w:after="0"/>
      <w:outlineLvl w:val="7"/>
    </w:pPr>
    <w:rPr>
      <w:rFonts w:asciiTheme="majorHAnsi" w:eastAsiaTheme="majorEastAsia" w:hAnsiTheme="majorHAnsi" w:cstheme="majorBidi"/>
      <w:color w:val="4F81BD" w:themeColor="accent1"/>
    </w:rPr>
  </w:style>
  <w:style w:type="paragraph" w:styleId="Heading9">
    <w:name w:val="heading 9"/>
    <w:basedOn w:val="Normal"/>
    <w:next w:val="BodyText"/>
    <w:uiPriority w:val="9"/>
    <w:unhideWhenUsed/>
    <w:qFormat/>
    <w:pPr>
      <w:keepNext/>
      <w:keepLines/>
      <w:spacing w:before="200" w:after="0"/>
      <w:outlineLvl w:val="8"/>
    </w:pPr>
    <w:rPr>
      <w:rFonts w:asciiTheme="majorHAnsi" w:eastAsiaTheme="majorEastAsia" w:hAnsiTheme="majorHAnsi" w:cstheme="majorBidi"/>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autoRedefine/>
    <w:qFormat/>
    <w:rsid w:val="00452623"/>
    <w:pPr>
      <w:spacing w:before="180" w:after="180"/>
    </w:pPr>
    <w:rPr>
      <w:rFonts w:ascii="ETBembo" w:hAnsi="ETBembo"/>
      <w:color w:val="000000" w:themeColor="text1"/>
    </w:rPr>
  </w:style>
  <w:style w:type="paragraph" w:customStyle="1" w:styleId="FirstParagraph">
    <w:name w:val="First Paragraph"/>
    <w:basedOn w:val="BodyText"/>
    <w:next w:val="BodyText"/>
    <w:autoRedefine/>
    <w:qFormat/>
    <w:rsid w:val="00452623"/>
  </w:style>
  <w:style w:type="paragraph" w:customStyle="1" w:styleId="Compact">
    <w:name w:val="Compact"/>
    <w:basedOn w:val="BodyText"/>
    <w:qFormat/>
    <w:pPr>
      <w:spacing w:before="36" w:after="36"/>
    </w:pPr>
  </w:style>
  <w:style w:type="paragraph" w:styleId="Title">
    <w:name w:val="Title"/>
    <w:basedOn w:val="Normal"/>
    <w:next w:val="BodyText"/>
    <w:autoRedefine/>
    <w:qFormat/>
    <w:rsid w:val="005170FF"/>
    <w:pPr>
      <w:keepNext/>
      <w:keepLines/>
      <w:spacing w:before="480" w:after="240"/>
      <w:jc w:val="center"/>
    </w:pPr>
    <w:rPr>
      <w:rFonts w:ascii="ETBembo" w:eastAsiaTheme="majorEastAsia" w:hAnsi="ETBembo" w:cstheme="majorBidi"/>
      <w:b/>
      <w:bCs/>
      <w:color w:val="000000" w:themeColor="text1"/>
      <w:sz w:val="44"/>
      <w:szCs w:val="36"/>
    </w:rPr>
  </w:style>
  <w:style w:type="paragraph" w:styleId="Subtitle">
    <w:name w:val="Subtitle"/>
    <w:basedOn w:val="Title"/>
    <w:next w:val="BodyText"/>
    <w:qFormat/>
    <w:pPr>
      <w:spacing w:before="240"/>
    </w:pPr>
    <w:rPr>
      <w:sz w:val="30"/>
      <w:szCs w:val="30"/>
    </w:rPr>
  </w:style>
  <w:style w:type="paragraph" w:customStyle="1" w:styleId="Author">
    <w:name w:val="Author"/>
    <w:next w:val="BodyText"/>
    <w:autoRedefine/>
    <w:qFormat/>
    <w:rsid w:val="00C23448"/>
    <w:pPr>
      <w:keepNext/>
      <w:keepLines/>
      <w:jc w:val="center"/>
    </w:pPr>
    <w:rPr>
      <w:rFonts w:ascii="ETBembo" w:hAnsi="ETBembo"/>
      <w:i/>
      <w:sz w:val="28"/>
    </w:rPr>
  </w:style>
  <w:style w:type="paragraph" w:styleId="Date">
    <w:name w:val="Date"/>
    <w:next w:val="BodyText"/>
    <w:qFormat/>
    <w:rsid w:val="004C2BE0"/>
    <w:pPr>
      <w:keepNext/>
      <w:keepLines/>
      <w:jc w:val="center"/>
    </w:pPr>
    <w:rPr>
      <w:rFonts w:ascii="ETBembo" w:hAnsi="ETBembo"/>
    </w:rPr>
  </w:style>
  <w:style w:type="paragraph" w:customStyle="1" w:styleId="Abstract">
    <w:name w:val="Abstract"/>
    <w:basedOn w:val="Normal"/>
    <w:next w:val="BodyText"/>
    <w:autoRedefine/>
    <w:qFormat/>
    <w:rsid w:val="004C2BE0"/>
    <w:pPr>
      <w:keepNext/>
      <w:keepLines/>
      <w:spacing w:before="300" w:after="300"/>
    </w:pPr>
    <w:rPr>
      <w:rFonts w:ascii="ETBembo" w:hAnsi="ETBembo"/>
      <w:sz w:val="20"/>
      <w:szCs w:val="20"/>
    </w:rPr>
  </w:style>
  <w:style w:type="paragraph" w:styleId="Bibliography">
    <w:name w:val="Bibliography"/>
    <w:basedOn w:val="Normal"/>
    <w:autoRedefine/>
    <w:qFormat/>
    <w:rsid w:val="009E757F"/>
    <w:pPr>
      <w:ind w:left="720" w:hanging="720"/>
    </w:pPr>
    <w:rPr>
      <w:rFonts w:ascii="ETBembo" w:hAnsi="ETBembo"/>
    </w:rPr>
  </w:style>
  <w:style w:type="paragraph" w:styleId="BlockText">
    <w:name w:val="Block Text"/>
    <w:basedOn w:val="BodyText"/>
    <w:next w:val="BodyText"/>
    <w:uiPriority w:val="9"/>
    <w:unhideWhenUsed/>
    <w:qFormat/>
    <w:pPr>
      <w:spacing w:before="100" w:after="100"/>
      <w:ind w:left="480" w:right="480"/>
    </w:pPr>
  </w:style>
  <w:style w:type="paragraph" w:styleId="FootnoteText">
    <w:name w:val="footnote text"/>
    <w:basedOn w:val="Normal"/>
    <w:autoRedefine/>
    <w:uiPriority w:val="9"/>
    <w:unhideWhenUsed/>
    <w:qFormat/>
    <w:rsid w:val="003A152E"/>
    <w:rPr>
      <w:rFonts w:ascii="ETBembo" w:hAnsi="ETBembo"/>
      <w:sz w:val="20"/>
    </w:rPr>
  </w:style>
  <w:style w:type="table" w:customStyle="1" w:styleId="Table">
    <w:name w:val="Table"/>
    <w:semiHidden/>
    <w:unhideWhenUsed/>
    <w:qFormat/>
    <w:tblPr>
      <w:tblInd w:w="0" w:type="dxa"/>
      <w:tblCellMar>
        <w:top w:w="0" w:type="dxa"/>
        <w:left w:w="108" w:type="dxa"/>
        <w:bottom w:w="0" w:type="dxa"/>
        <w:right w:w="108" w:type="dxa"/>
      </w:tblCellMar>
    </w:tblPr>
    <w:tblStylePr w:type="firstRow">
      <w:tblPr>
        <w:jc w:val="left"/>
      </w:tblPr>
      <w:trPr>
        <w:jc w:val="left"/>
      </w:trPr>
      <w:tcPr>
        <w:tcBorders>
          <w:bottom w:val="single" w:sz="0" w:space="0" w:color="auto"/>
        </w:tcBorders>
        <w:vAlign w:val="bottom"/>
      </w:tcPr>
    </w:tblStylePr>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CaptionChar"/>
    <w:pPr>
      <w:spacing w:after="120"/>
    </w:pPr>
    <w:rPr>
      <w:i/>
    </w:rPr>
  </w:style>
  <w:style w:type="paragraph" w:customStyle="1" w:styleId="TableCaption">
    <w:name w:val="Table Caption"/>
    <w:basedOn w:val="Normal"/>
    <w:qFormat/>
    <w:rsid w:val="00DE118B"/>
    <w:pPr>
      <w:keepNext/>
      <w:spacing w:after="120"/>
    </w:pPr>
    <w:rPr>
      <w:rFonts w:ascii="ETBembo" w:hAnsi="ETBembo"/>
      <w:iCs/>
      <w:color w:val="595959" w:themeColor="text1" w:themeTint="A6"/>
      <w:sz w:val="22"/>
    </w:rPr>
  </w:style>
  <w:style w:type="paragraph" w:customStyle="1" w:styleId="ImageCaption">
    <w:name w:val="Image Caption"/>
    <w:basedOn w:val="Caption"/>
    <w:qFormat/>
    <w:rsid w:val="008B7E01"/>
    <w:rPr>
      <w:rFonts w:ascii="ETBembo" w:hAnsi="ETBembo"/>
      <w:i w:val="0"/>
      <w:color w:val="595959" w:themeColor="text1" w:themeTint="A6"/>
    </w:rPr>
  </w:style>
  <w:style w:type="paragraph" w:customStyle="1" w:styleId="Figure">
    <w:name w:val="Figure"/>
    <w:basedOn w:val="Normal"/>
  </w:style>
  <w:style w:type="paragraph" w:customStyle="1" w:styleId="CaptionedFigure">
    <w:name w:val="Captioned Figure"/>
    <w:basedOn w:val="Figure"/>
    <w:pPr>
      <w:keepNext/>
    </w:pPr>
  </w:style>
  <w:style w:type="character" w:customStyle="1" w:styleId="CaptionChar">
    <w:name w:val="Caption Char"/>
    <w:basedOn w:val="DefaultParagraphFont"/>
    <w:link w:val="Caption"/>
  </w:style>
  <w:style w:type="character" w:customStyle="1" w:styleId="VerbatimChar">
    <w:name w:val="Verbatim Char"/>
    <w:basedOn w:val="CaptionChar"/>
    <w:link w:val="SourceCode"/>
    <w:rPr>
      <w:rFonts w:ascii="Consolas" w:hAnsi="Consolas"/>
      <w:sz w:val="22"/>
    </w:rPr>
  </w:style>
  <w:style w:type="character" w:customStyle="1" w:styleId="SectionNumber">
    <w:name w:val="Section Number"/>
    <w:basedOn w:val="CaptionChar"/>
  </w:style>
  <w:style w:type="character" w:styleId="FootnoteReference">
    <w:name w:val="footnote reference"/>
    <w:basedOn w:val="CaptionChar"/>
    <w:qFormat/>
    <w:rsid w:val="0058271D"/>
    <w:rPr>
      <w:rFonts w:ascii="LM Roman 10" w:hAnsi="LM Roman 10"/>
      <w:sz w:val="20"/>
      <w:vertAlign w:val="superscript"/>
    </w:rPr>
  </w:style>
  <w:style w:type="character" w:styleId="Hyperlink">
    <w:name w:val="Hyperlink"/>
    <w:basedOn w:val="CaptionChar"/>
    <w:uiPriority w:val="99"/>
    <w:rsid w:val="005900BB"/>
    <w:rPr>
      <w:rFonts w:ascii="ETBembo" w:hAnsi="ETBembo"/>
      <w:color w:val="0000EE"/>
      <w:sz w:val="24"/>
    </w:rPr>
  </w:style>
  <w:style w:type="paragraph" w:styleId="TOCHeading">
    <w:name w:val="TOC Heading"/>
    <w:basedOn w:val="Heading1"/>
    <w:next w:val="BodyText"/>
    <w:autoRedefine/>
    <w:uiPriority w:val="39"/>
    <w:unhideWhenUsed/>
    <w:qFormat/>
    <w:rsid w:val="00D80705"/>
    <w:pPr>
      <w:spacing w:before="240" w:line="259" w:lineRule="auto"/>
      <w:outlineLvl w:val="9"/>
    </w:pPr>
    <w:rPr>
      <w:b/>
      <w:bCs w:val="0"/>
    </w:rPr>
  </w:style>
  <w:style w:type="character" w:customStyle="1" w:styleId="BodyTextChar">
    <w:name w:val="Body Text Char"/>
    <w:basedOn w:val="DefaultParagraphFont"/>
    <w:link w:val="BodyText"/>
    <w:rsid w:val="00452623"/>
    <w:rPr>
      <w:rFonts w:ascii="ETBembo" w:hAnsi="ETBembo"/>
      <w:color w:val="000000" w:themeColor="text1"/>
    </w:rPr>
  </w:style>
  <w:style w:type="paragraph" w:customStyle="1" w:styleId="StyleHeading2LatinETBemboText1">
    <w:name w:val="Style Heading 2 + (Latin) ETBembo Text 1"/>
    <w:basedOn w:val="Heading2"/>
    <w:autoRedefine/>
    <w:qFormat/>
    <w:rsid w:val="00914C4D"/>
  </w:style>
  <w:style w:type="character" w:styleId="FollowedHyperlink">
    <w:name w:val="FollowedHyperlink"/>
    <w:basedOn w:val="DefaultParagraphFont"/>
    <w:semiHidden/>
    <w:unhideWhenUsed/>
    <w:rsid w:val="005900BB"/>
    <w:rPr>
      <w:color w:val="800080" w:themeColor="followedHyperlink"/>
      <w:u w:val="single"/>
    </w:rPr>
  </w:style>
  <w:style w:type="paragraph" w:customStyle="1" w:styleId="StyleImageCaptionLatinETBemboText1">
    <w:name w:val="Style Image Caption + (Latin) ETBembo Text 1"/>
    <w:basedOn w:val="ImageCaption"/>
    <w:autoRedefine/>
    <w:qFormat/>
    <w:rsid w:val="00CD7C36"/>
    <w:rPr>
      <w:i/>
      <w:iCs/>
      <w:sz w:val="22"/>
    </w:rPr>
  </w:style>
  <w:style w:type="paragraph" w:customStyle="1" w:styleId="StyleTableCaptionLatinETBemboText1">
    <w:name w:val="Style Table Caption + (Latin) ETBembo Text 1"/>
    <w:basedOn w:val="TableCaption"/>
    <w:autoRedefine/>
    <w:qFormat/>
    <w:rsid w:val="00DE118B"/>
    <w:rPr>
      <w:iCs w:val="0"/>
    </w:rPr>
  </w:style>
  <w:style w:type="paragraph" w:customStyle="1" w:styleId="SourceCode">
    <w:name w:val="Source Code"/>
    <w:basedOn w:val="Normal"/>
    <w:link w:val="VerbatimChar"/>
    <w:pPr>
      <w:shd w:val="clear" w:color="auto" w:fill="F1F3F5"/>
      <w:wordWrap w:val="0"/>
    </w:pPr>
  </w:style>
  <w:style w:type="character" w:customStyle="1" w:styleId="KeywordTok">
    <w:name w:val="KeywordTok"/>
    <w:basedOn w:val="VerbatimChar"/>
    <w:rPr>
      <w:rFonts w:ascii="Consolas" w:hAnsi="Consolas"/>
      <w:b/>
      <w:color w:val="003B4F"/>
      <w:sz w:val="22"/>
      <w:shd w:val="clear" w:color="auto" w:fill="F1F3F5"/>
    </w:rPr>
  </w:style>
  <w:style w:type="character" w:customStyle="1" w:styleId="DataTypeTok">
    <w:name w:val="DataTypeTok"/>
    <w:basedOn w:val="VerbatimChar"/>
    <w:rPr>
      <w:rFonts w:ascii="Consolas" w:hAnsi="Consolas"/>
      <w:color w:val="AD0000"/>
      <w:sz w:val="22"/>
      <w:shd w:val="clear" w:color="auto" w:fill="F1F3F5"/>
    </w:rPr>
  </w:style>
  <w:style w:type="character" w:customStyle="1" w:styleId="DecValTok">
    <w:name w:val="DecValTok"/>
    <w:basedOn w:val="VerbatimChar"/>
    <w:rPr>
      <w:rFonts w:ascii="Consolas" w:hAnsi="Consolas"/>
      <w:color w:val="AD0000"/>
      <w:sz w:val="22"/>
      <w:shd w:val="clear" w:color="auto" w:fill="F1F3F5"/>
    </w:rPr>
  </w:style>
  <w:style w:type="character" w:customStyle="1" w:styleId="BaseNTok">
    <w:name w:val="BaseNTok"/>
    <w:basedOn w:val="VerbatimChar"/>
    <w:rPr>
      <w:rFonts w:ascii="Consolas" w:hAnsi="Consolas"/>
      <w:color w:val="AD0000"/>
      <w:sz w:val="22"/>
      <w:shd w:val="clear" w:color="auto" w:fill="F1F3F5"/>
    </w:rPr>
  </w:style>
  <w:style w:type="character" w:customStyle="1" w:styleId="FloatTok">
    <w:name w:val="FloatTok"/>
    <w:basedOn w:val="VerbatimChar"/>
    <w:rPr>
      <w:rFonts w:ascii="Consolas" w:hAnsi="Consolas"/>
      <w:color w:val="AD0000"/>
      <w:sz w:val="22"/>
      <w:shd w:val="clear" w:color="auto" w:fill="F1F3F5"/>
    </w:rPr>
  </w:style>
  <w:style w:type="character" w:customStyle="1" w:styleId="ConstantTok">
    <w:name w:val="ConstantTok"/>
    <w:basedOn w:val="VerbatimChar"/>
    <w:rPr>
      <w:rFonts w:ascii="Consolas" w:hAnsi="Consolas"/>
      <w:color w:val="8F5902"/>
      <w:sz w:val="22"/>
      <w:shd w:val="clear" w:color="auto" w:fill="F1F3F5"/>
    </w:rPr>
  </w:style>
  <w:style w:type="character" w:customStyle="1" w:styleId="CharTok">
    <w:name w:val="CharTok"/>
    <w:basedOn w:val="VerbatimChar"/>
    <w:rPr>
      <w:rFonts w:ascii="Consolas" w:hAnsi="Consolas"/>
      <w:color w:val="20794D"/>
      <w:sz w:val="22"/>
      <w:shd w:val="clear" w:color="auto" w:fill="F1F3F5"/>
    </w:rPr>
  </w:style>
  <w:style w:type="character" w:customStyle="1" w:styleId="SpecialCharTok">
    <w:name w:val="SpecialCharTok"/>
    <w:basedOn w:val="VerbatimChar"/>
    <w:rPr>
      <w:rFonts w:ascii="Consolas" w:hAnsi="Consolas"/>
      <w:color w:val="5E5E5E"/>
      <w:sz w:val="22"/>
      <w:shd w:val="clear" w:color="auto" w:fill="F1F3F5"/>
    </w:rPr>
  </w:style>
  <w:style w:type="character" w:customStyle="1" w:styleId="StringTok">
    <w:name w:val="StringTok"/>
    <w:basedOn w:val="VerbatimChar"/>
    <w:rPr>
      <w:rFonts w:ascii="Consolas" w:hAnsi="Consolas"/>
      <w:color w:val="20794D"/>
      <w:sz w:val="22"/>
      <w:shd w:val="clear" w:color="auto" w:fill="F1F3F5"/>
    </w:rPr>
  </w:style>
  <w:style w:type="character" w:customStyle="1" w:styleId="VerbatimStringTok">
    <w:name w:val="VerbatimStringTok"/>
    <w:basedOn w:val="VerbatimChar"/>
    <w:rPr>
      <w:rFonts w:ascii="Consolas" w:hAnsi="Consolas"/>
      <w:color w:val="20794D"/>
      <w:sz w:val="22"/>
      <w:shd w:val="clear" w:color="auto" w:fill="F1F3F5"/>
    </w:rPr>
  </w:style>
  <w:style w:type="character" w:customStyle="1" w:styleId="SpecialStringTok">
    <w:name w:val="SpecialStringTok"/>
    <w:basedOn w:val="VerbatimChar"/>
    <w:rPr>
      <w:rFonts w:ascii="Consolas" w:hAnsi="Consolas"/>
      <w:color w:val="20794D"/>
      <w:sz w:val="22"/>
      <w:shd w:val="clear" w:color="auto" w:fill="F1F3F5"/>
    </w:rPr>
  </w:style>
  <w:style w:type="character" w:customStyle="1" w:styleId="ImportTok">
    <w:name w:val="ImportTok"/>
    <w:basedOn w:val="VerbatimChar"/>
    <w:rPr>
      <w:rFonts w:ascii="Consolas" w:hAnsi="Consolas"/>
      <w:color w:val="00769E"/>
      <w:sz w:val="22"/>
      <w:shd w:val="clear" w:color="auto" w:fill="F1F3F5"/>
    </w:rPr>
  </w:style>
  <w:style w:type="character" w:customStyle="1" w:styleId="CommentTok">
    <w:name w:val="CommentTok"/>
    <w:basedOn w:val="VerbatimChar"/>
    <w:rPr>
      <w:rFonts w:ascii="Consolas" w:hAnsi="Consolas"/>
      <w:color w:val="5E5E5E"/>
      <w:sz w:val="22"/>
      <w:shd w:val="clear" w:color="auto" w:fill="F1F3F5"/>
    </w:rPr>
  </w:style>
  <w:style w:type="character" w:customStyle="1" w:styleId="DocumentationTok">
    <w:name w:val="DocumentationTok"/>
    <w:basedOn w:val="VerbatimChar"/>
    <w:rPr>
      <w:rFonts w:ascii="Consolas" w:hAnsi="Consolas"/>
      <w:i/>
      <w:color w:val="5E5E5E"/>
      <w:sz w:val="22"/>
      <w:shd w:val="clear" w:color="auto" w:fill="F1F3F5"/>
    </w:rPr>
  </w:style>
  <w:style w:type="character" w:customStyle="1" w:styleId="AnnotationTok">
    <w:name w:val="AnnotationTok"/>
    <w:basedOn w:val="VerbatimChar"/>
    <w:rPr>
      <w:rFonts w:ascii="Consolas" w:hAnsi="Consolas"/>
      <w:color w:val="5E5E5E"/>
      <w:sz w:val="22"/>
      <w:shd w:val="clear" w:color="auto" w:fill="F1F3F5"/>
    </w:rPr>
  </w:style>
  <w:style w:type="character" w:customStyle="1" w:styleId="CommentVarTok">
    <w:name w:val="CommentVarTok"/>
    <w:basedOn w:val="VerbatimChar"/>
    <w:rPr>
      <w:rFonts w:ascii="Consolas" w:hAnsi="Consolas"/>
      <w:i/>
      <w:color w:val="5E5E5E"/>
      <w:sz w:val="22"/>
      <w:shd w:val="clear" w:color="auto" w:fill="F1F3F5"/>
    </w:rPr>
  </w:style>
  <w:style w:type="character" w:customStyle="1" w:styleId="OtherTok">
    <w:name w:val="OtherTok"/>
    <w:basedOn w:val="VerbatimChar"/>
    <w:rPr>
      <w:rFonts w:ascii="Consolas" w:hAnsi="Consolas"/>
      <w:color w:val="003B4F"/>
      <w:sz w:val="22"/>
      <w:shd w:val="clear" w:color="auto" w:fill="F1F3F5"/>
    </w:rPr>
  </w:style>
  <w:style w:type="character" w:customStyle="1" w:styleId="FunctionTok">
    <w:name w:val="FunctionTok"/>
    <w:basedOn w:val="VerbatimChar"/>
    <w:rPr>
      <w:rFonts w:ascii="Consolas" w:hAnsi="Consolas"/>
      <w:color w:val="4758AB"/>
      <w:sz w:val="22"/>
      <w:shd w:val="clear" w:color="auto" w:fill="F1F3F5"/>
    </w:rPr>
  </w:style>
  <w:style w:type="character" w:customStyle="1" w:styleId="VariableTok">
    <w:name w:val="VariableTok"/>
    <w:basedOn w:val="VerbatimChar"/>
    <w:rPr>
      <w:rFonts w:ascii="Consolas" w:hAnsi="Consolas"/>
      <w:color w:val="111111"/>
      <w:sz w:val="22"/>
      <w:shd w:val="clear" w:color="auto" w:fill="F1F3F5"/>
    </w:rPr>
  </w:style>
  <w:style w:type="character" w:customStyle="1" w:styleId="ControlFlowTok">
    <w:name w:val="ControlFlowTok"/>
    <w:basedOn w:val="VerbatimChar"/>
    <w:rPr>
      <w:rFonts w:ascii="Consolas" w:hAnsi="Consolas"/>
      <w:b/>
      <w:color w:val="003B4F"/>
      <w:sz w:val="22"/>
      <w:shd w:val="clear" w:color="auto" w:fill="F1F3F5"/>
    </w:rPr>
  </w:style>
  <w:style w:type="character" w:customStyle="1" w:styleId="OperatorTok">
    <w:name w:val="OperatorTok"/>
    <w:basedOn w:val="VerbatimChar"/>
    <w:rPr>
      <w:rFonts w:ascii="Consolas" w:hAnsi="Consolas"/>
      <w:color w:val="5E5E5E"/>
      <w:sz w:val="22"/>
      <w:shd w:val="clear" w:color="auto" w:fill="F1F3F5"/>
    </w:rPr>
  </w:style>
  <w:style w:type="character" w:customStyle="1" w:styleId="BuiltInTok">
    <w:name w:val="BuiltInTok"/>
    <w:basedOn w:val="VerbatimChar"/>
    <w:rPr>
      <w:rFonts w:ascii="Consolas" w:hAnsi="Consolas"/>
      <w:color w:val="003B4F"/>
      <w:sz w:val="22"/>
      <w:shd w:val="clear" w:color="auto" w:fill="F1F3F5"/>
    </w:rPr>
  </w:style>
  <w:style w:type="character" w:customStyle="1" w:styleId="ExtensionTok">
    <w:name w:val="ExtensionTok"/>
    <w:basedOn w:val="VerbatimChar"/>
    <w:rPr>
      <w:rFonts w:ascii="Consolas" w:hAnsi="Consolas"/>
      <w:color w:val="003B4F"/>
      <w:sz w:val="22"/>
      <w:shd w:val="clear" w:color="auto" w:fill="F1F3F5"/>
    </w:rPr>
  </w:style>
  <w:style w:type="character" w:customStyle="1" w:styleId="PreprocessorTok">
    <w:name w:val="PreprocessorTok"/>
    <w:basedOn w:val="VerbatimChar"/>
    <w:rPr>
      <w:rFonts w:ascii="Consolas" w:hAnsi="Consolas"/>
      <w:color w:val="AD0000"/>
      <w:sz w:val="22"/>
      <w:shd w:val="clear" w:color="auto" w:fill="F1F3F5"/>
    </w:rPr>
  </w:style>
  <w:style w:type="character" w:customStyle="1" w:styleId="AttributeTok">
    <w:name w:val="AttributeTok"/>
    <w:basedOn w:val="VerbatimChar"/>
    <w:rPr>
      <w:rFonts w:ascii="Consolas" w:hAnsi="Consolas"/>
      <w:color w:val="657422"/>
      <w:sz w:val="22"/>
      <w:shd w:val="clear" w:color="auto" w:fill="F1F3F5"/>
    </w:rPr>
  </w:style>
  <w:style w:type="character" w:customStyle="1" w:styleId="RegionMarkerTok">
    <w:name w:val="RegionMarkerTok"/>
    <w:basedOn w:val="VerbatimChar"/>
    <w:rPr>
      <w:rFonts w:ascii="Consolas" w:hAnsi="Consolas"/>
      <w:color w:val="003B4F"/>
      <w:sz w:val="22"/>
      <w:shd w:val="clear" w:color="auto" w:fill="F1F3F5"/>
    </w:rPr>
  </w:style>
  <w:style w:type="character" w:customStyle="1" w:styleId="InformationTok">
    <w:name w:val="InformationTok"/>
    <w:basedOn w:val="VerbatimChar"/>
    <w:rPr>
      <w:rFonts w:ascii="Consolas" w:hAnsi="Consolas"/>
      <w:color w:val="5E5E5E"/>
      <w:sz w:val="22"/>
      <w:shd w:val="clear" w:color="auto" w:fill="F1F3F5"/>
    </w:rPr>
  </w:style>
  <w:style w:type="character" w:customStyle="1" w:styleId="WarningTok">
    <w:name w:val="WarningTok"/>
    <w:basedOn w:val="VerbatimChar"/>
    <w:rPr>
      <w:rFonts w:ascii="Consolas" w:hAnsi="Consolas"/>
      <w:i/>
      <w:color w:val="5E5E5E"/>
      <w:sz w:val="22"/>
      <w:shd w:val="clear" w:color="auto" w:fill="F1F3F5"/>
    </w:rPr>
  </w:style>
  <w:style w:type="character" w:customStyle="1" w:styleId="AlertTok">
    <w:name w:val="AlertTok"/>
    <w:basedOn w:val="VerbatimChar"/>
    <w:rPr>
      <w:rFonts w:ascii="Consolas" w:hAnsi="Consolas"/>
      <w:color w:val="AD0000"/>
      <w:sz w:val="22"/>
      <w:shd w:val="clear" w:color="auto" w:fill="F1F3F5"/>
    </w:rPr>
  </w:style>
  <w:style w:type="character" w:customStyle="1" w:styleId="ErrorTok">
    <w:name w:val="ErrorTok"/>
    <w:basedOn w:val="VerbatimChar"/>
    <w:rPr>
      <w:rFonts w:ascii="Consolas" w:hAnsi="Consolas"/>
      <w:color w:val="AD0000"/>
      <w:sz w:val="22"/>
      <w:shd w:val="clear" w:color="auto" w:fill="F1F3F5"/>
    </w:rPr>
  </w:style>
  <w:style w:type="character" w:customStyle="1" w:styleId="NormalTok">
    <w:name w:val="NormalTok"/>
    <w:basedOn w:val="VerbatimChar"/>
    <w:rPr>
      <w:rFonts w:ascii="Consolas" w:hAnsi="Consolas"/>
      <w:color w:val="003B4F"/>
      <w:sz w:val="22"/>
      <w:shd w:val="clear" w:color="auto" w:fill="F1F3F5"/>
    </w:rPr>
  </w:style>
  <w:style w:type="paragraph" w:styleId="TOC1">
    <w:name w:val="toc 1"/>
    <w:basedOn w:val="Normal"/>
    <w:next w:val="Normal"/>
    <w:autoRedefine/>
    <w:uiPriority w:val="39"/>
    <w:unhideWhenUsed/>
    <w:rsid w:val="007D0981"/>
    <w:pPr>
      <w:spacing w:after="100"/>
    </w:pPr>
  </w:style>
  <w:style w:type="paragraph" w:styleId="TOC2">
    <w:name w:val="toc 2"/>
    <w:basedOn w:val="Normal"/>
    <w:next w:val="Normal"/>
    <w:autoRedefine/>
    <w:uiPriority w:val="39"/>
    <w:unhideWhenUsed/>
    <w:rsid w:val="007D0981"/>
    <w:pPr>
      <w:spacing w:after="100"/>
      <w:ind w:left="240"/>
    </w:pPr>
  </w:style>
  <w:style w:type="paragraph" w:styleId="TOC3">
    <w:name w:val="toc 3"/>
    <w:basedOn w:val="Normal"/>
    <w:next w:val="Normal"/>
    <w:autoRedefine/>
    <w:uiPriority w:val="39"/>
    <w:unhideWhenUsed/>
    <w:rsid w:val="007D0981"/>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creativecommons.org/licenses/by-nd/4.0/" TargetMode="External"/><Relationship Id="rId21" Type="http://schemas.openxmlformats.org/officeDocument/2006/relationships/hyperlink" Target="https://creativecommons.org/licenses/by-nd/4.0/" TargetMode="External"/><Relationship Id="rId42" Type="http://schemas.openxmlformats.org/officeDocument/2006/relationships/image" Target="media/image10.png"/><Relationship Id="rId47" Type="http://schemas.openxmlformats.org/officeDocument/2006/relationships/hyperlink" Target="https://www.bartzijlstra.com" TargetMode="External"/><Relationship Id="rId63" Type="http://schemas.openxmlformats.org/officeDocument/2006/relationships/image" Target="media/image30.png"/><Relationship Id="rId68" Type="http://schemas.openxmlformats.org/officeDocument/2006/relationships/hyperlink" Target="https://onlinelibrary.wiley.com/toc/14209101/1999/12/6" TargetMode="External"/><Relationship Id="rId84" Type="http://schemas.openxmlformats.org/officeDocument/2006/relationships/hyperlink" Target="https://doi.org/10.1073/pnas.68.5.984" TargetMode="External"/><Relationship Id="rId89" Type="http://schemas.openxmlformats.org/officeDocument/2006/relationships/hyperlink" Target="https://doi.org/10.2307/1940718" TargetMode="External"/><Relationship Id="rId16" Type="http://schemas.openxmlformats.org/officeDocument/2006/relationships/hyperlink" Target="https://iulibscholcomm.github.io/through-the-looking-glass/Through-the-Looking-Glass--I.-Why-Cross-Fertilize-.pdf" TargetMode="External"/><Relationship Id="rId11" Type="http://schemas.openxmlformats.org/officeDocument/2006/relationships/hyperlink" Target="https://iulibscholcomm.github.io/through-the-looking-glass/Through-the-Looking-Glass--I.-Why-Cross-Fertilize-.epub" TargetMode="External"/><Relationship Id="rId32" Type="http://schemas.openxmlformats.org/officeDocument/2006/relationships/image" Target="media/image4.png"/><Relationship Id="rId37" Type="http://schemas.openxmlformats.org/officeDocument/2006/relationships/image" Target="media/image6.jpg"/><Relationship Id="rId53" Type="http://schemas.openxmlformats.org/officeDocument/2006/relationships/image" Target="media/image20.jpg"/><Relationship Id="rId58" Type="http://schemas.openxmlformats.org/officeDocument/2006/relationships/image" Target="media/image25.jpg"/><Relationship Id="rId74" Type="http://schemas.openxmlformats.org/officeDocument/2006/relationships/hyperlink" Target="https://doi.org/10.1111/j.1095-8312.1862.tb01218.x" TargetMode="External"/><Relationship Id="rId79" Type="http://schemas.openxmlformats.org/officeDocument/2006/relationships/hyperlink" Target="https://doi.org/10.1086/408439" TargetMode="External"/><Relationship Id="rId5" Type="http://schemas.openxmlformats.org/officeDocument/2006/relationships/footnotes" Target="footnotes.xml"/><Relationship Id="rId90" Type="http://schemas.openxmlformats.org/officeDocument/2006/relationships/hyperlink" Target="https://doi.org/10.1002/ece3.9136" TargetMode="External"/><Relationship Id="rId95" Type="http://schemas.openxmlformats.org/officeDocument/2006/relationships/hyperlink" Target="https://doi.org/10.1080/03014223.1990.10422600" TargetMode="External"/><Relationship Id="rId22" Type="http://schemas.openxmlformats.org/officeDocument/2006/relationships/hyperlink" Target="https://creativecommons.org/licenses/by-nd/4.0/" TargetMode="External"/><Relationship Id="rId27" Type="http://schemas.openxmlformats.org/officeDocument/2006/relationships/image" Target="media/image1.png"/><Relationship Id="rId43" Type="http://schemas.openxmlformats.org/officeDocument/2006/relationships/image" Target="media/image11.jpg"/><Relationship Id="rId48" Type="http://schemas.openxmlformats.org/officeDocument/2006/relationships/image" Target="media/image15.png"/><Relationship Id="rId64" Type="http://schemas.openxmlformats.org/officeDocument/2006/relationships/image" Target="media/image31.png"/><Relationship Id="rId69" Type="http://schemas.openxmlformats.org/officeDocument/2006/relationships/image" Target="media/image35.png"/><Relationship Id="rId80" Type="http://schemas.openxmlformats.org/officeDocument/2006/relationships/hyperlink" Target="https://doi.org/10.1111/j.1442-1984.1993.tb00072.x" TargetMode="External"/><Relationship Id="rId85" Type="http://schemas.openxmlformats.org/officeDocument/2006/relationships/hyperlink" Target="https://doi.org/10.1111/j.1558-5646.1986.tb00466.x" TargetMode="External"/><Relationship Id="rId3" Type="http://schemas.openxmlformats.org/officeDocument/2006/relationships/settings" Target="settings.xml"/><Relationship Id="rId12" Type="http://schemas.openxmlformats.org/officeDocument/2006/relationships/hyperlink" Target="https://iulibscholcomm.github.io/through-the-looking-glass/" TargetMode="External"/><Relationship Id="rId17" Type="http://schemas.openxmlformats.org/officeDocument/2006/relationships/hyperlink" Target="https://iulibscholcomm.github.io/through-the-looking-glass/" TargetMode="External"/><Relationship Id="rId25" Type="http://schemas.openxmlformats.org/officeDocument/2006/relationships/hyperlink" Target="https://creativecommons.org/licenses/by-nd/4.0/" TargetMode="External"/><Relationship Id="rId33" Type="http://schemas.openxmlformats.org/officeDocument/2006/relationships/hyperlink" Target="https://connect.posit.iu.edu/clonal-invasion-dynamics/" TargetMode="External"/><Relationship Id="rId38" Type="http://schemas.openxmlformats.org/officeDocument/2006/relationships/image" Target="media/image7.png"/><Relationship Id="rId46" Type="http://schemas.openxmlformats.org/officeDocument/2006/relationships/image" Target="media/image14.jpg"/><Relationship Id="rId59" Type="http://schemas.openxmlformats.org/officeDocument/2006/relationships/image" Target="media/image26.png"/><Relationship Id="rId67" Type="http://schemas.openxmlformats.org/officeDocument/2006/relationships/image" Target="media/image34.png"/><Relationship Id="rId20" Type="http://schemas.openxmlformats.org/officeDocument/2006/relationships/hyperlink" Target="https://quarto.org/docs/guide/" TargetMode="External"/><Relationship Id="rId41" Type="http://schemas.openxmlformats.org/officeDocument/2006/relationships/hyperlink" Target="http://www.herkimershideaway.org/writings/carroll.htm" TargetMode="External"/><Relationship Id="rId54" Type="http://schemas.openxmlformats.org/officeDocument/2006/relationships/image" Target="media/image21.png"/><Relationship Id="rId62" Type="http://schemas.openxmlformats.org/officeDocument/2006/relationships/image" Target="media/image29.jpg"/><Relationship Id="rId70" Type="http://schemas.openxmlformats.org/officeDocument/2006/relationships/hyperlink" Target="https://doi.org/10.1111/j.1461-0248.2006.00905.x" TargetMode="External"/><Relationship Id="rId75" Type="http://schemas.openxmlformats.org/officeDocument/2006/relationships/hyperlink" Target="https://www.darwinproject.ac.uk/letter/?docId=letters/DCP-LETT-2869.xml" TargetMode="External"/><Relationship Id="rId83" Type="http://schemas.openxmlformats.org/officeDocument/2006/relationships/hyperlink" Target="https://doi.org/10.1163/156853900502565" TargetMode="External"/><Relationship Id="rId88" Type="http://schemas.openxmlformats.org/officeDocument/2006/relationships/hyperlink" Target="https://doi.org/10.1098/rspb.1994.0054" TargetMode="External"/><Relationship Id="rId91" Type="http://schemas.openxmlformats.org/officeDocument/2006/relationships/hyperlink" Target="https://doi.org/10.1098/rsbl.2021.0321" TargetMode="External"/><Relationship Id="rId96" Type="http://schemas.openxmlformats.org/officeDocument/2006/relationships/hyperlink" Target="https://doi.org/10.1111/j.1558-5646.1986.tb00573.x"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iulibscholcomm.github.io/through-the-looking-glass/" TargetMode="External"/><Relationship Id="rId23" Type="http://schemas.openxmlformats.org/officeDocument/2006/relationships/hyperlink" Target="https://creativecommons.org/licenses/by-nd/4.0/" TargetMode="External"/><Relationship Id="rId28" Type="http://schemas.openxmlformats.org/officeDocument/2006/relationships/hyperlink" Target="https://libraries.indiana.edu/scholarly-communication" TargetMode="External"/><Relationship Id="rId36" Type="http://schemas.openxmlformats.org/officeDocument/2006/relationships/image" Target="media/image5.jpg"/><Relationship Id="rId49" Type="http://schemas.openxmlformats.org/officeDocument/2006/relationships/image" Target="media/image16.png"/><Relationship Id="rId57" Type="http://schemas.openxmlformats.org/officeDocument/2006/relationships/image" Target="media/image24.jpg"/><Relationship Id="rId10" Type="http://schemas.openxmlformats.org/officeDocument/2006/relationships/hyperlink" Target="https://iulibscholcomm.github.io/through-the-looking-glass/" TargetMode="External"/><Relationship Id="rId31" Type="http://schemas.openxmlformats.org/officeDocument/2006/relationships/image" Target="media/image3.jpg"/><Relationship Id="rId44" Type="http://schemas.openxmlformats.org/officeDocument/2006/relationships/image" Target="media/image12.jpg"/><Relationship Id="rId52" Type="http://schemas.openxmlformats.org/officeDocument/2006/relationships/image" Target="media/image19.jpg"/><Relationship Id="rId60" Type="http://schemas.openxmlformats.org/officeDocument/2006/relationships/image" Target="media/image27.png"/><Relationship Id="rId65" Type="http://schemas.openxmlformats.org/officeDocument/2006/relationships/image" Target="media/image32.png"/><Relationship Id="rId73" Type="http://schemas.openxmlformats.org/officeDocument/2006/relationships/hyperlink" Target="https://doi.org/10.3998/ptb.6959004.0008.003" TargetMode="External"/><Relationship Id="rId78" Type="http://schemas.openxmlformats.org/officeDocument/2006/relationships/hyperlink" Target="https://doi.org/10.1098/rspb.2002.2182" TargetMode="External"/><Relationship Id="rId81" Type="http://schemas.openxmlformats.org/officeDocument/2006/relationships/hyperlink" Target="https://doi.org/10.1098/rstb.1994.0146" TargetMode="External"/><Relationship Id="rId86" Type="http://schemas.openxmlformats.org/officeDocument/2006/relationships/hyperlink" Target="https://doi.org/10.1086/303210" TargetMode="External"/><Relationship Id="rId94" Type="http://schemas.openxmlformats.org/officeDocument/2006/relationships/hyperlink" Target="https://doi.org/10.1017/S0016672300013926" TargetMode="External"/><Relationship Id="rId9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iulibscholcomm.github.io/through-the-looking-glass/Through-the-Looking-Glass--I.-Why-Cross-Fertilize-.docx" TargetMode="External"/><Relationship Id="rId13" Type="http://schemas.openxmlformats.org/officeDocument/2006/relationships/hyperlink" Target="https://en.wikipedia.org/wiki/Reflowable_document" TargetMode="External"/><Relationship Id="rId18" Type="http://schemas.openxmlformats.org/officeDocument/2006/relationships/hyperlink" Target="https://iulibscholcomm.github.io/through-the-looking-glass/" TargetMode="External"/><Relationship Id="rId39" Type="http://schemas.openxmlformats.org/officeDocument/2006/relationships/image" Target="media/image8.png"/><Relationship Id="rId34" Type="http://schemas.openxmlformats.org/officeDocument/2006/relationships/hyperlink" Target="https://raw.githubusercontent.com/IULibScholComm/through-the-looking-glass/main/rscripts/sim%20for%20fig%201.2(ZMD).R" TargetMode="External"/><Relationship Id="rId50" Type="http://schemas.openxmlformats.org/officeDocument/2006/relationships/image" Target="media/image17.png"/><Relationship Id="rId55" Type="http://schemas.openxmlformats.org/officeDocument/2006/relationships/image" Target="media/image22.png"/><Relationship Id="rId76" Type="http://schemas.openxmlformats.org/officeDocument/2006/relationships/hyperlink" Target="https://doi.org/10.1093/molbev/msad145" TargetMode="External"/><Relationship Id="rId97" Type="http://schemas.openxmlformats.org/officeDocument/2006/relationships/hyperlink" Target="http://www.herkimershideaway.org/writings/carroll.htm" TargetMode="External"/><Relationship Id="rId7" Type="http://schemas.openxmlformats.org/officeDocument/2006/relationships/hyperlink" Target="mailto:clively@indiana.edu" TargetMode="External"/><Relationship Id="rId71" Type="http://schemas.openxmlformats.org/officeDocument/2006/relationships/hyperlink" Target="https://doi.org/10.1371/journal.pgen.1006596" TargetMode="External"/><Relationship Id="rId92" Type="http://schemas.openxmlformats.org/officeDocument/2006/relationships/hyperlink" Target="https://doi.org/10.1111/j.0014-3820.2000.tb00550.x" TargetMode="External"/><Relationship Id="rId2" Type="http://schemas.openxmlformats.org/officeDocument/2006/relationships/styles" Target="styles.xml"/><Relationship Id="rId29" Type="http://schemas.openxmlformats.org/officeDocument/2006/relationships/hyperlink" Target="https://doi.org/10.5967/GBD3-KA07" TargetMode="External"/><Relationship Id="rId24" Type="http://schemas.openxmlformats.org/officeDocument/2006/relationships/hyperlink" Target="https://creativecommons.org/licenses/by-nd/4.0/" TargetMode="External"/><Relationship Id="rId40" Type="http://schemas.openxmlformats.org/officeDocument/2006/relationships/image" Target="media/image9.png"/><Relationship Id="rId45" Type="http://schemas.openxmlformats.org/officeDocument/2006/relationships/image" Target="media/image13.jpg"/><Relationship Id="rId66" Type="http://schemas.openxmlformats.org/officeDocument/2006/relationships/image" Target="media/image33.png"/><Relationship Id="rId87" Type="http://schemas.openxmlformats.org/officeDocument/2006/relationships/hyperlink" Target="https://doi.org/10.1098/rstb.1994.0144" TargetMode="External"/><Relationship Id="rId61" Type="http://schemas.openxmlformats.org/officeDocument/2006/relationships/image" Target="media/image28.png"/><Relationship Id="rId82" Type="http://schemas.openxmlformats.org/officeDocument/2006/relationships/hyperlink" Target="https://hdl.handle.net/10776/1745" TargetMode="External"/><Relationship Id="rId19" Type="http://schemas.openxmlformats.org/officeDocument/2006/relationships/hyperlink" Target="https://iulibscholcomm.github.io/through-the-looking-glass/" TargetMode="External"/><Relationship Id="rId14" Type="http://schemas.openxmlformats.org/officeDocument/2006/relationships/hyperlink" Target="https://iulibscholcomm.github.io/through-the-looking-glass/" TargetMode="External"/><Relationship Id="rId30" Type="http://schemas.openxmlformats.org/officeDocument/2006/relationships/image" Target="media/image2.jpg"/><Relationship Id="rId35" Type="http://schemas.openxmlformats.org/officeDocument/2006/relationships/hyperlink" Target="https://raw.githubusercontent.com/IULibScholComm/through-the-looking-glass/main/rscripts/app.R" TargetMode="External"/><Relationship Id="rId56" Type="http://schemas.openxmlformats.org/officeDocument/2006/relationships/image" Target="media/image23.png"/><Relationship Id="rId77" Type="http://schemas.openxmlformats.org/officeDocument/2006/relationships/hyperlink" Target="https://doi.org/10.1080/11250009909356270" TargetMode="External"/><Relationship Id="rId100" Type="http://schemas.openxmlformats.org/officeDocument/2006/relationships/theme" Target="theme/theme1.xml"/><Relationship Id="rId8" Type="http://schemas.openxmlformats.org/officeDocument/2006/relationships/hyperlink" Target="https://iulibscholcomm.github.io/through-the-looking-glass/" TargetMode="External"/><Relationship Id="rId51" Type="http://schemas.openxmlformats.org/officeDocument/2006/relationships/image" Target="media/image18.jpg"/><Relationship Id="rId72" Type="http://schemas.openxmlformats.org/officeDocument/2006/relationships/hyperlink" Target="https://doi.org/10.1017/S0022149X19000993" TargetMode="External"/><Relationship Id="rId93" Type="http://schemas.openxmlformats.org/officeDocument/2006/relationships/hyperlink" Target="https://doi.org/10.1098/rspb.1983.0075" TargetMode="External"/><Relationship Id="rId98" Type="http://schemas.openxmlformats.org/officeDocument/2006/relationships/hyperlink" Target="https://doi.org/10.1139/f96-041"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www.merriam-webster.com/words-at-play/wonderful-word-history-evolutio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168</TotalTime>
  <Pages>84</Pages>
  <Words>27630</Words>
  <Characters>157494</Characters>
  <Application>Microsoft Office Word</Application>
  <DocSecurity>0</DocSecurity>
  <Lines>1312</Lines>
  <Paragraphs>369</Paragraphs>
  <ScaleCrop>false</ScaleCrop>
  <HeadingPairs>
    <vt:vector size="2" baseType="variant">
      <vt:variant>
        <vt:lpstr>Title</vt:lpstr>
      </vt:variant>
      <vt:variant>
        <vt:i4>1</vt:i4>
      </vt:variant>
    </vt:vector>
  </HeadingPairs>
  <TitlesOfParts>
    <vt:vector size="1" baseType="lpstr">
      <vt:lpstr>Through the Looking Glass: I. Why Cross-Fertilize?</vt:lpstr>
    </vt:vector>
  </TitlesOfParts>
  <Company>Indiana University</Company>
  <LinksUpToDate>false</LinksUpToDate>
  <CharactersWithSpaces>184755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Through the Looking Glass: I. Why Cross-Fertilize?</dc:title>
  <dc:subject>evolution, coevolution, “host-parasite interactions”, “Muller’s ratchet”, parthenogenesis, “Red Queen hypothesis”, “sexual reproduction”</dc:subject>
  <dc:creator>Curtis M. Lively</dc:creator>
  <cp:keywords/>
  <dc:description>Book on the evolutionary problem of sexual reproduction</dc:description>
  <cp:lastModifiedBy>Mazel, Adam</cp:lastModifiedBy>
  <cp:revision>3</cp:revision>
  <dcterms:created xsi:type="dcterms:W3CDTF">2024-02-13T19:18:00Z</dcterms:created>
  <dcterms:modified xsi:type="dcterms:W3CDTF">2024-02-19T21:27:00Z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bstract">
    <vt:lpwstr>The following pages represent the first volume of a book. The main goal is to introduce the evolutionary problem of sexual reproduction with a focus on competition between sexual and asexual females. But I also incorporate some ideas on genetic polymorphism and phenotypic plasticity with the goal of exploring “variation strategies” more generally. Finally, I try to weave in some history of the field along with some philosophy of science.</vt:lpwstr>
  </property>
  <property fmtid="{D5CDD505-2E9C-101B-9397-08002B2CF9AE}" pid="3" name="affiliations">
    <vt:lpwstr/>
  </property>
  <property fmtid="{D5CDD505-2E9C-101B-9397-08002B2CF9AE}" pid="4" name="authors">
    <vt:lpwstr/>
  </property>
  <property fmtid="{D5CDD505-2E9C-101B-9397-08002B2CF9AE}" pid="5" name="biblio-config">
    <vt:lpwstr>True</vt:lpwstr>
  </property>
  <property fmtid="{D5CDD505-2E9C-101B-9397-08002B2CF9AE}" pid="6" name="bibliography">
    <vt:lpwstr/>
  </property>
  <property fmtid="{D5CDD505-2E9C-101B-9397-08002B2CF9AE}" pid="7" name="book">
    <vt:lpwstr/>
  </property>
  <property fmtid="{D5CDD505-2E9C-101B-9397-08002B2CF9AE}" pid="8" name="by-affiliation">
    <vt:lpwstr/>
  </property>
  <property fmtid="{D5CDD505-2E9C-101B-9397-08002B2CF9AE}" pid="9" name="by-author">
    <vt:lpwstr/>
  </property>
  <property fmtid="{D5CDD505-2E9C-101B-9397-08002B2CF9AE}" pid="10" name="citation">
    <vt:lpwstr/>
  </property>
  <property fmtid="{D5CDD505-2E9C-101B-9397-08002B2CF9AE}" pid="11" name="citations-hover">
    <vt:lpwstr>True</vt:lpwstr>
  </property>
  <property fmtid="{D5CDD505-2E9C-101B-9397-08002B2CF9AE}" pid="12" name="crossref">
    <vt:lpwstr/>
  </property>
  <property fmtid="{D5CDD505-2E9C-101B-9397-08002B2CF9AE}" pid="13" name="csl">
    <vt:lpwstr>ecology-letters.csl</vt:lpwstr>
  </property>
  <property fmtid="{D5CDD505-2E9C-101B-9397-08002B2CF9AE}" pid="14" name="date">
    <vt:lpwstr>2024</vt:lpwstr>
  </property>
  <property fmtid="{D5CDD505-2E9C-101B-9397-08002B2CF9AE}" pid="15" name="date-format">
    <vt:lpwstr>YYYY</vt:lpwstr>
  </property>
  <property fmtid="{D5CDD505-2E9C-101B-9397-08002B2CF9AE}" pid="16" name="doi">
    <vt:lpwstr>10.5967/gbd3-ka07</vt:lpwstr>
  </property>
  <property fmtid="{D5CDD505-2E9C-101B-9397-08002B2CF9AE}" pid="17" name="google-scholar">
    <vt:lpwstr>True</vt:lpwstr>
  </property>
  <property fmtid="{D5CDD505-2E9C-101B-9397-08002B2CF9AE}" pid="18" name="header-includes">
    <vt:lpwstr/>
  </property>
  <property fmtid="{D5CDD505-2E9C-101B-9397-08002B2CF9AE}" pid="19" name="include-after">
    <vt:lpwstr/>
  </property>
  <property fmtid="{D5CDD505-2E9C-101B-9397-08002B2CF9AE}" pid="20" name="include-before">
    <vt:lpwstr/>
  </property>
  <property fmtid="{D5CDD505-2E9C-101B-9397-08002B2CF9AE}" pid="21" name="labels">
    <vt:lpwstr/>
  </property>
  <property fmtid="{D5CDD505-2E9C-101B-9397-08002B2CF9AE}" pid="22" name="link-citations">
    <vt:lpwstr>True</vt:lpwstr>
  </property>
  <property fmtid="{D5CDD505-2E9C-101B-9397-08002B2CF9AE}" pid="23" name="template-partials">
    <vt:lpwstr/>
  </property>
  <property fmtid="{D5CDD505-2E9C-101B-9397-08002B2CF9AE}" pid="24" name="toc-title">
    <vt:lpwstr>Contents</vt:lpwstr>
  </property>
</Properties>
</file>